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https://www.cnmc.es/expedientes/c023010</w:t>
      </w:r>
    </w:p>
    <w:p>
      <w:r>
        <w:t>Pages translated : 9</w:t>
      </w:r>
    </w:p>
    <w:p/>
    <w:p>
      <w:r>
        <w:rPr>
          <w:b/>
        </w:rPr>
        <w:t>[Pages 1–3]</w:t>
      </w:r>
    </w:p>
    <w:p>
      <w:r>
        <w:t xml:space="preserve">RESOLUTION  </w:t>
        <w:br/>
        <w:t xml:space="preserve">File C/0230/10 TELECINCO/CUATRO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Madrid, October 28, 2010</w:t>
      </w:r>
    </w:p>
    <w:p>
      <w:r>
        <w:t>The Council of the National Competition Commission, with the composition expressed and being the rapporteur Councilor Ms. Inmaculada Gutiérrez Carrizo, has issued pursuant to Article 58 of Law 15/2007, of July 3, on the Defense of Competition (hereinafter Law 15/2007) this Resolution in the concentration file C/0230/10 TELECINCO/CUATRO regarding the economic concentration operation consisting of the acquisition by GESTEVISIÓN TELECINCO, S.A. of exclusive control of SOCIEDAD GENERAL DE TELEVISIÓN CUATRO, S.A.U. (CUATRO), through the purchase of 100% of its share capital.</w:t>
      </w:r>
    </w:p>
    <w:p>
      <w:r>
        <w:t xml:space="preserve">FACTUAL BACKGROUND  </w:t>
        <w:br/>
        <w:t xml:space="preserve">1. On April 28, 2010, the economic concentration operation consisting of TELECINCO's acquisition of exclusive control of SOCIEDAD GENERAL DE TELEVISIÓN CUATRO, S.A.U. (CUATRO), through the purchase of 100% of its share capital, was notified to the National Competition Commission (CNC) by GESTEVISIÓN TELECINCO, S.A. (TELECINCO), which gave rise to file C/0230/10 TELECINCO / CUATRO.  </w:t>
        <w:br/>
        <w:t>2. Furthermore, on April 29, 2010, the economic concentration operation consisting of the joint acquisition by PRISA, TELEFÓNICA, and TELECINCO of joint control of DTS DISTRIBUIDORA DE TELEVISIÓN DIGITAL, S.A. (DIGITAL+), was notified to the CNC by PROMOTORA DE INFORMACIONES, S.A. (PRISA), TELEFÓNICA, S.A. (TELEFÓNICA), and TELECINCO, which gave rise to file C/0231/10 PRISA / TELEFÓNICA / TELECINCO / DIGITAL+.</w:t>
      </w:r>
    </w:p>
    <w:p>
      <w:r>
        <w:t xml:space="preserve">3. On May 3, 2010, pursuant to Article 17.2.c) of Law 15/2007, of July 3, on the Defense of Competition (LDC), since the State Council of Audiovisual Media is not yet effectively constituted, by virtue of the provisions in the seventh transitional provision of Law 7/2010, of March 31, General Audiovisual Communication Law, a mandatory non-binding report on the TELECINCO / CUATRO concentration operation was requested from the State Secretariat for Telecommunications and the Information Society (SETSI). This SETSI report was received by the CNC on June 14, 2010.  </w:t>
        <w:br/>
        <w:t xml:space="preserve">4. On May 17, 2010, in accordance with the provisions of Article 73 of Law 30/1992, of November 26, on the Legal Regime of Public Administrations and the Common Administrative Procedure, the Directorate of Investigation agreed to accumulate file C/0231/10 PRISA / TELEFÓNICA / TELECINCO / DIGITAL+ to file C/0230/10 TELECINCO / CUATRO, continuing its processing jointly, in accordance with the deadlines of file C/0230/10 TELECINCO / CUATRO. This accumulation was agreed upon due to the existing connections between both concentration operations, in order to safeguard the principle of administrative efficiency and allow for an efficient and effective instruction of the files.  </w:t>
        <w:br/>
        <w:t xml:space="preserve">5. In accordance with Article 57.1 of Law 15/2007, of July 3, on the Defense of Competition, the Directorate of Investigation formed a file and prepared the corresponding report on the operation along with a proposal for resolution.  </w:t>
        <w:br/>
        <w:t xml:space="preserve">6. On June 30, 2010, the Council of the National Competition Commission issued a resolution in the first phase, in which it agreed to initiate the second phase of the procedure in accordance with Article 57.2.c) of Law 15/2007, considering that the aforementioned concentration operations may hinder the maintenance of effective competition in all or some of the considered markets.  </w:t>
        <w:br/>
        <w:t xml:space="preserve">7. In accordance with Article 66 of the Competition Defense Regulation, approved by Royal Decree 261/2008, of February 22, the Council of the National Competition Commission has accepted the participation as interested parties of the following entities:  </w:t>
        <w:br/>
        <w:t xml:space="preserve">- COMMUNITY MEDIA NETWORK (RMC).  </w:t>
        <w:br/>
        <w:t xml:space="preserve">- GESTORA INVERSIONES AUDIOVISUALES, S.A. (LA SEXTA)  </w:t>
        <w:br/>
        <w:t xml:space="preserve">- CABLEUROPA, S.A.U. AND TENARIA, S.A. (ONO)  </w:t>
        <w:br/>
        <w:t xml:space="preserve">- VEO TELEVISIÓN, S.A. (VEO)  </w:t>
        <w:br/>
        <w:t xml:space="preserve">- MEDIAPRODUCCIÓN, S.L. (MEDIAPRO)  </w:t>
        <w:br/>
        <w:t xml:space="preserve">- CABLE OPERATORS GROUP, A.I.E. (AOC)  </w:t>
        <w:br/>
        <w:t xml:space="preserve">- FRANCE TELECOM ESPAÑA, S.A. (ORANGE)  </w:t>
        <w:br/>
        <w:t xml:space="preserve">- ANTENA 3 DE TELEVISIÓN, S.A. (ANTENA 3 TV)  </w:t>
        <w:br/>
        <w:t xml:space="preserve">- ABERTIS TELECOM, S.A.U (ABERTIS)  </w:t>
        <w:br/>
        <w:t xml:space="preserve">- SPANISH ADVERTISERS ASSOCIATION (AEA)  </w:t>
        <w:br/>
        <w:t>- EUROSPORT ESPAÑA, S.A.U (EUROSPORT)</w:t>
      </w:r>
    </w:p>
    <w:p>
      <w:r>
        <w:t xml:space="preserve">- NET TV MANAGEMENT COMPANY, S.A. and VERALIA CORPORATION OF FILM AND TELEVISION PRODUCERS, S.L., both companies belonging to the Vocento Group (VOCENTO).  </w:t>
        <w:br/>
        <w:t xml:space="preserve">- UNIDAD EDITORIAL, S.A.  </w:t>
        <w:br/>
        <w:t xml:space="preserve">8. The Directorate of Investigation has instructed the procedure in the second phase in accordance with the provisions of Articles 58 and 59 of Law 15/2007. In particular, on August 6, 2010, this Directorate of Investigation prepared a Specification of Facts, pursuant to Article 58.2 of the LDC, which included the possible obstacles to competition arising from the concentrations to which the notifiers and interested parties have made allegations.  </w:t>
        <w:br/>
        <w:t xml:space="preserve">9. On September 24, 2010, the notifiers submitted, pursuant to the provisions of Article 59 of the LDC, two formal proposals of commitments corresponding to each of the notified concentration operations, which seek to resolve the obstacles to the maintenance of effective competition that they may generate.  </w:t>
        <w:br/>
        <w:t xml:space="preserve">10. On October 18, 2010, PRISA, TELEFÓNICA, and TELECINCO submitted a proposal of commitments for the concentration operation PRISA / TELEFÓNICA / TELECINCO / DIGITAL+.  </w:t>
        <w:br/>
        <w:t xml:space="preserve">11. On October 19, 2010, TELECINCO submitted a proposal of commitments for the concentration operation TELECINCO / CUATRO.  </w:t>
        <w:br/>
        <w:t>12. On October 20, 2010, the Directorate of Investigation agreed to annul the accumulation of file C/0231/10 PRISA / TELEFÓNICA / TELECINCO / DIGITAL+ to file C/0230/10 TELECINCO / CUATRO agreed on May 17. According to the Agreement of October 20, “After a preliminary examination of the commitments presented by TELECINCO on October 19, 2010, this Directorate of Investigation considers that they could be sufficient to propose to the Council of the CNC the authorization of the concentration operation TELECINCO / CUATRO, pursuant to the provisions of Article 58.4.b) of the LDC. In contrast, from the preliminary examination of the commitments presented on October 18, 2010, by PRISA, TELEFÓNICA, and TELECINCO, for the concentration operation PRISA / TELEFÓNICA / TELECINCO / DIGITAL+, this Directorate of Investigation considers that they are not sufficient to resolve the problems that this concentration operation generates for the maintenance of effective competition in the considered markets.” The Directorate of Investigation argues that this way it seeks to avoid harm to the legitimate interests of TELECINCO, due to unnecessary delays in the authorization of the TELECINCO / CUATRO operation, as well as to safeguard the effectiveness of the procedure.</w:t>
      </w:r>
    </w:p>
    <w:p>
      <w:r>
        <w:t>Thus, once the file has been processed jointly for reasons of procedural economy and the investigation of the effects on effective competition of both concentration operations on various markets has been carried out, the separate resolution of both files is possible.</w:t>
      </w:r>
    </w:p>
    <w:p>
      <w:r>
        <w:rPr>
          <w:b/>
        </w:rPr>
        <w:t>[Pages 4–6]</w:t>
      </w:r>
    </w:p>
    <w:p>
      <w:r>
        <w:t>13. On October 25, 2010, the Directorate of Investigation submitted to the Council a Report on the operation and proposal for a definitive resolution in accordance with the provisions of Article 58.4 of Law 15/2007, proposing to subordinate the authorization of TELECINCO's acquisition of exclusive control of CUATRO to the fulfillment of certain commitments proposed by the notifier.</w:t>
      </w:r>
    </w:p>
    <w:p>
      <w:r>
        <w:t>14. Taking into account the suspensions of the deadline agreed upon by the Directorate of Investigation throughout the processing of the file in accordance with Article 37.1.b) of Law 15/2007 and the extension of the deadline provided for in Article 59.2 of the regulation as a result of the presentation of commitments, the deadline to resolve in the second phase the file C/230/10 TELECINCO/CUATRO is November 2, 2010, inclusive. After this date, the notified operation would be considered tacitly authorized.</w:t>
      </w:r>
    </w:p>
    <w:p>
      <w:r>
        <w:t>15. The Council of the National Competition Commission adopted this Resolution on October 27, 2010.</w:t>
      </w:r>
    </w:p>
    <w:p>
      <w:r>
        <w:t>LEGAL GROUNDS</w:t>
      </w:r>
    </w:p>
    <w:p>
      <w:r>
        <w:t>First.- In accordance with Article 58.4 of Law 15/2007, in view of the proposal for a definitive resolution from the Directorate of Investigation, the Council of the National Competition Commission will adopt the final decision through a resolution in which it may: a) Authorize the concentration. b) Subordinate the authorization of the concentration to the fulfillment of certain commitments proposed by the notifiers or conditions. c) Prohibit the concentration. d) Agree to archive the proceedings in the cases provided for in this Law.</w:t>
      </w:r>
    </w:p>
    <w:p>
      <w:r>
        <w:t>Second.- In accordance with the provisions of Article 59 of Law 15/2007, GESTEVISIÓN TELECINCO S.A. submitted on October 19, 2010, a proposal for commitments to resolve the competition issues raised by the TELECINCO / CUATRO concentration operation. This proposal includes certain commitments subordinate to TELECINCO acquiring the status of shareholder or controlling shareholder of DIGITAL+ as a result of operation C/0231/10 PRISA / TELEFÓNICA / TELECINCO / DIGITAL+. In accordance with Article 69.7 of the Competition Defense Regulation (ROYAL DECREE 261/2008, of February 22), this proposal for commitments, which is transcribed below, has been included in the proposal for resolution submitted to this Council by the Directorate of Investigation:</w:t>
      </w:r>
    </w:p>
    <w:p>
      <w:r>
        <w:t>“The following is the package of commitments that Telecinco undertakes, aimed at resolving the concerns raised by the CNC in the reference file.</w:t>
      </w:r>
    </w:p>
    <w:p>
      <w:r>
        <w:t>(i) Telecinco commits not to market through the same commercial offer (“commercial package”) the advertising or any other form of television commercial communication of the two most-watched open channels among the four it manages (hereinafter, the “main channels”). Furthermore, the combined audience of the channels included in each commercial package will not exceed 22%. For the purposes of determining the audience of each channel, the average audience for the immediately preceding semester will be taken into account every six months.</w:t>
      </w:r>
    </w:p>
    <w:p>
      <w:r>
        <w:t>(ii) Telecinco commits not to develop commercial policies, and in particular, pricing policies, that imply, formally or de facto, the tied sale, directly or indirectly, to advertisers of the different commercial advertising packages of television channels.</w:t>
      </w:r>
    </w:p>
    <w:p>
      <w:r>
        <w:t>(iii) Telecinco commits not to conclude new contracts for the management of advertising for third-party open TDT operators at the state, regional, or local level. Regarding contracts signed with third-party open TDT operators at the state, regional, or local level for the management of advertising prior to the concentration operation, Telecinco commits to limit their duration to a maximum period of one year from the entry into force of these commitments. Telecinco commits that the management of advertising for third-party channels outside the pay television group, including Digital+, will be carried out by a company distinct from the one managing the advertising of Telecinco's open channels, with full functional and commercial autonomy.</w:t>
      </w:r>
    </w:p>
    <w:p>
      <w:r>
        <w:t>(iv) Telecinco commits, while it maintains a common stake with Prisa and/or Telefónica in Digital+, not to jointly market advertising with advertising supports managed, respectively, by Prisa and/or Telefónica, and their subsidiary or affiliated companies (hereinafter “Prisa and/or Telefónica”).</w:t>
      </w:r>
    </w:p>
    <w:p>
      <w:r>
        <w:t>(v) Telecinco commits, while it maintains a common stake with Prisa and/or Telefónica in Digital+, to apply market conditions to Telefónica and Prisa and not preferential or exclusive treatment in the contracting of advertising by these companies.</w:t>
      </w:r>
    </w:p>
    <w:p>
      <w:r>
        <w:t>(vi) Telecinco commits not to conclude exclusive acquisition contracts for audiovisual content from third parties with a duration exceeding three years and commits that such contracts will not include clauses for tacit renewal, rights of first refusal and retraction, or options for extension or preferential acquisition for successive periods. As an exception to the above, it will be allowed for Telecinco to have contracts that cover the “total life” of each series and each entertainment program. In the case of feature films, it will be allowed for each film to be exploited exclusively for a maximum period of five years. In the case of exclusive audiovisual content acquisition contracts currently in force that exceed the previous limits, Telecinco commits to grant the supplier a right, which may be exercised within six months from the entry into force of the commitments, and subject to the corresponding compensation according to objective and proportional criteria, to modify the contracts to adjust them to the previous limits, without modifying the rest of the conditions established therein. Likewise, Telecinco will expressly waive the right to exercise at any time the mechanisms of extension, option, or rights of first refusal that may exist in such contracts. For the purposes of the provisions of this commitment, any modification or novation of the exclusive acquisition contracts for audiovisual content that Telecinco may have subscribed to will be considered a new contract, subject to the commitments previously indicated for them.</w:t>
      </w:r>
    </w:p>
    <w:p>
      <w:r>
        <w:t>(vii) Telecinco commits, while it is the controlling shareholder of Digital+, not to conclude exclusive acquisition contracts for free-to-air television for the entirety of the production of feature films and premiere series, respectively, with more than three of the following producers: Paramount, Disney, CBS, Warner, Universal, Sony/Columbia, and Fox. Furthermore, while it is the controlling shareholder of Digital+, Telecinco commits not to acquire more than 60% of the total annual production volume of premieres from all the aforementioned producers in series and films, respectively.</w:t>
      </w:r>
    </w:p>
    <w:p>
      <w:r>
        <w:t>(viii) Telecinco commits, while it is the controlling shareholder of Digital+, to limit the exclusive exploitation of audiovisual rights for sporting events for their broadcast on free-to-air television according to the following conditions: - Telecinco commits not to exploit on free-to-air television in the same year broadcasting rights for First Division League matches and broadcasting rights for football matches from more than one of the remaining official national or international competitions. - Telecinco commits not to exploit on free-to-air television in the same year broadcasting rights for more than two of the following blocks of sporting events: (cid:131) Formula 1 World Championship (cid:131) Motorcycle World Championship (cid:131) Official national or international competitions in which first division basketball clubs or the national team participate (cid:131) Tour de France and/or Vuelta a España</w:t>
      </w:r>
    </w:p>
    <w:p>
      <w:r>
        <w:t>(ix) Telecinco commits not to rent or lease channels of multiple ownership from third-party TDT operators.</w:t>
      </w:r>
    </w:p>
    <w:p>
      <w:r>
        <w:t>(x) Telecinco commits, while it is the controlling shareholder of Digital+, to guarantee the distribution of its open television channels on other pay platforms different from those of Digital+ and Telefónica, without requiring economic compensation, provided that (i) at least one of them distributes it, (ii) such platforms guarantee a reliable audience measurement system, and (iii) Telecinco is not required to pay any compensation.</w:t>
      </w:r>
    </w:p>
    <w:p>
      <w:r>
        <w:rPr>
          <w:b/>
        </w:rPr>
        <w:t>[Pages 7–9]</w:t>
      </w:r>
    </w:p>
    <w:p>
      <w:r>
        <w:t>(xi) Telecinco undertakes not to oppose granting its authorization for the launch by operators with whom it shares multiplex of new services or improvements in the quality of broadcasts, provided that (i) such launch does not harm the quality of its own broadcasts and (ii) it receives reciprocal treatment from the operators with whom it shares multiplex.</w:t>
      </w:r>
    </w:p>
    <w:p>
      <w:r>
        <w:t>(xii) Telecinco undertakes not to conclude contracts that involve exclusive rights or first option for the acquisition of the entirety of the production with national content producers, to expressly waive the right to exercise at any time the exclusive rights for the acquisition of the entirety of the production, or the rights of first option over more than two programs, with producers not created with the support of Telecinco, and not to renew in terms of exclusivity or first option, the contracts signed with producers that have been created with the support of Telecinco.</w:t>
      </w:r>
    </w:p>
    <w:p>
      <w:r>
        <w:t>These commitments will have, unless otherwise indicated, an initial duration of three years. After this period, the National Competition Commission will assess whether a relevant modification has occurred in the structure or regulation of the considered markets, justifying the maintenance, adjustment, or elimination of the corresponding conditions for an additional period of two years.</w:t>
      </w:r>
    </w:p>
    <w:p>
      <w:r>
        <w:t>Notwithstanding the anticipated duration of the previous commitments, Telecinco may request the National Competition Commission to modify their content and duration, in the event of a relevant modification in the structure or regulation of the considered markets.</w:t>
      </w:r>
    </w:p>
    <w:p>
      <w:r>
        <w:t>The Directorate of Investigation has assessed these commitments in the proposal for resolution submitted to the Council, concluding that they are sufficient and proportionate to compensate for the problems of hindering effective competition arising from the TELECINCO / CUATRO concentration operation.</w:t>
      </w:r>
    </w:p>
    <w:p>
      <w:r>
        <w:t>Third.- Having reviewed the processed file and analyzed the report on the operation, the Council agrees with the assessment made by the Directorate of Investigation regarding the notified operation, as well as with the proposal for resolution submitted by the Directorate of Investigation, considering that the set of commitments presented by GESTEVISIÓN TELECINCO S.A. is sufficient and proportionate to eliminate the possible risks of hindering effective competition arising from the concentration operation under analysis.</w:t>
      </w:r>
    </w:p>
    <w:p>
      <w:r>
        <w:t>The Council agrees with the notifier and the Directorate of Investigation that an initial duration of the commitments of three years should be established, extendable for another two if the market circumstances that made them necessary do not change.</w:t>
      </w:r>
    </w:p>
    <w:p>
      <w:r>
        <w:t>Fourth.- In order to ensure the effectiveness of the commitments, the CNC must oversee the proper execution of the same by the TELECINCO group. In line with the various precedents in this matter, the proper execution of the commitments requires the approval by the CNC of an Action Plan for the implementation of each and every one of these commitments to which the notifier has committed.</w:t>
      </w:r>
    </w:p>
    <w:p>
      <w:r>
        <w:t>Fifth.- In accordance with the provisions of Law 15/2007, this Resolution will be executive when any of the cases provided for in its Article 58.6 occurs.</w:t>
      </w:r>
    </w:p>
    <w:p>
      <w:r>
        <w:t>Sixth.- The non-compliance with the provisions of this Resolution by the TELECINCO group will be considered a very serious infringement and may, in its case, entail the sanctions provided for in Law 15/2007.</w:t>
      </w:r>
    </w:p>
    <w:p>
      <w:r>
        <w:t>For all of which, having regard to the cited legal provisions and those of general application, the Council of the National Competition Commission</w:t>
      </w:r>
    </w:p>
    <w:p>
      <w:r>
        <w:t>HAS RESOLVED</w:t>
      </w:r>
    </w:p>
    <w:p>
      <w:r>
        <w:t>FIRST.- To subordinate, in application of Article 58.4.b) of Law 15/2007, the authorization of the concentration to the fulfillment of the commitments proposed by the notifier on October 19, 2010, which are transcribed in the Legal Basis Second.</w:t>
      </w:r>
    </w:p>
    <w:p>
      <w:r>
        <w:t>SECOND.- To grant TELECINCO a period of one month from the date on which the Resolution becomes executive to present to the CNC an action plan for the implementation of the commitments contained therein.</w:t>
      </w:r>
    </w:p>
    <w:p>
      <w:r>
        <w:t>Within a maximum period of one month from its receipt, said plan must be approved by the CNC, which may introduce in it the modifications it deems appropriate for the proper fulfillment of the commitments adopted in this Resolution.</w:t>
      </w:r>
    </w:p>
    <w:p>
      <w:r>
        <w:t>THIRD.- To establish an initial duration of the commitments of three years from the approval of the Action Plan, extendable for another two if the market circumstances that made them necessary do not change substantially.</w:t>
      </w:r>
    </w:p>
    <w:p>
      <w:r>
        <w:t>FOURTH.- To urge TELECINCO to comply with the provisions of this Resolution.</w:t>
      </w:r>
    </w:p>
    <w:p>
      <w:r>
        <w:t>FIFTH.- To entrust the Directorate of Investigation with the monitoring of this Resolution in accordance with the provisions of Article 35.2.c) of Law 15/2007.</w:t>
      </w:r>
    </w:p>
    <w:p>
      <w:r>
        <w:t>This Resolution shall be communicated to the Directorate of Investigation of the National Competition Commission and to the Minister of Economy and Finance, as provided for in Article 58.5 of Law 15/2007. Likewise, it shall be notified to the interested parties, informing them that this Resolution will not be effective, nor executive, nor will it conclude the administrative procedure unless one of the two cases provided for in letters a) or b) of Article 58.6 of Law 15/2007 occurs, and that against it, if the administrative procedure is exhausted, a contentious-administrative appeal may be filed before the National Court within two months from the notification of the agreements or from the day on which the period for issuing them has elapsed, as provided in the aforementioned letters a) or b) of Article 58.6 of Law 15/2007.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