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https://www.cnmc.es/expedientes/c023810</w:t>
      </w:r>
    </w:p>
    <w:p>
      <w:r>
        <w:t>Pages translated : 6</w:t>
      </w:r>
    </w:p>
    <w:p/>
    <w:p>
      <w:r>
        <w:rPr>
          <w:b/>
        </w:rPr>
        <w:t>[Pages 1–3]</w:t>
      </w:r>
    </w:p>
    <w:p>
      <w:r>
        <w:t xml:space="preserve">NATIONAL COMPETITION  </w:t>
        <w:br/>
        <w:t xml:space="preserve">COMMISSION  </w:t>
        <w:br/>
        <w:t xml:space="preserve">RESOLUTION (File C-0238/10, CAJASTUR/CCM)  </w:t>
        <w:br/>
        <w:t xml:space="preserve">COUNCIL  </w:t>
        <w:br/>
        <w:t xml:space="preserve">Mr. Luis Berenguer Fuster, President  </w:t>
        <w:br/>
        <w:t xml:space="preserve">Ms. Pilar Sánchez Núñez, Vice President  </w:t>
        <w:br/>
        <w:t xml:space="preserve">Mr. Julio Costas Comesaña, Council Member  </w:t>
        <w:br/>
        <w:t xml:space="preserve">Ms. Mª Jesús González López, Council Member  </w:t>
        <w:br/>
        <w:t xml:space="preserve">Ms. Inmaculada Gutiérrez Carrizo, Council Member  </w:t>
        <w:br/>
        <w:t xml:space="preserve">In Madrid, on June 16, 2010.  </w:t>
        <w:br/>
        <w:t xml:space="preserve">Having reviewed the file processed in accordance with Law 15/2007, of July 3, on the Defense of Competition, regarding the integration of the banking business of CAJA DE AHORROS DE CASTILLA LA MANCHA (CCM) into the group of companies headed by CAJASTUR, structured around BANCO LIBERTA S.A., by virtue of a business segregation operation (File C/0238/10), and agreeing with the report and proposal submitted by the Directorate of Investigation, the Council of the National Competition Commission has resolved, in application of Article 57.2.a) of the aforementioned Law, to authorize the said concentration operation in the first phase.  </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PROPOSAL FOR RESOLUTION  </w:t>
        <w:br/>
        <w:t xml:space="preserve">FILE C-0238/10 CAJASTUR/CCM  </w:t>
        <w:br/>
        <w:t xml:space="preserve">I. BACKGROUND  </w:t>
        <w:br/>
        <w:t xml:space="preserve">(1) On May 20, 2010, a notification regarding the integration of the banking business of Caja de Ahorros de Castilla La Mancha (CCM) into the group of companies headed by Cajastur (GRUPO CAJASTUR), structured around Banco Liberta, S.A. (BANCO LIBERTA) by virtue of a business segregation operation, was received by the National Competition Commission (CNC).  </w:t>
        <w:br/>
        <w:t xml:space="preserve">(2) On May 21, 2010, this Directorate of Investigation requested from the Bank of Spain (BDE) the report provided for in Article 17.2.c) of Law 15/2007, of July 3, on the Defense of Competition (hereinafter LDC), in relation to the referenced file. This report was received by the CNC on June 9, 2010.  </w:t>
        <w:br/>
        <w:t xml:space="preserve">(3) The deadline to agree to initiate the second phase of the procedure is July 10, 2010, inclusive. After this date, the notified operation will be considered tacitly authorized.  </w:t>
        <w:br/>
        <w:t xml:space="preserve">II. APPLICABILITY OF LAW 15/2007 ON THE DEFENSE OF COMPETITION  </w:t>
        <w:br/>
        <w:t xml:space="preserve">(4) The notified operation is an economic concentration in the sense of Article 7.1 b) of the LDC.  </w:t>
        <w:br/>
        <w:t xml:space="preserve">(5) The operation is not of community dimension, as it does not reach the thresholds established in paragraphs 2 and 3 of Article 1 of Council Regulation (EC) No. 139/2004 of January 20, 2004, on the control of concentrations between companies.  </w:t>
        <w:br/>
        <w:t xml:space="preserve">(6) The notified operation meets the requirements set forth by the LDC as it exceeds the threshold established in Article 8.1 b) of the same and complies with the requirements set forth in Article 56.1 b) of the aforementioned regulation.  </w:t>
        <w:br/>
        <w:t xml:space="preserve">III. PARTICIPATING COMPANIES  </w:t>
        <w:br/>
        <w:t>(7) CAJASTUR is a financial entity (savings bank) of Asturian origin focused on retail banking. It primarily addresses the needs of households, local corporations, and small and medium-sized enterprises. It is present in twelve Autonomous Communities (especially in Asturias), belongs to the Spanish Confederation of Savings Banks, and is integrated into the Deposit Guarantee Fund (FGD) of Savings Banks. It is not under the control of any natural or legal person.</w:t>
      </w:r>
    </w:p>
    <w:p>
      <w:r>
        <w:t xml:space="preserve">DIRECTORATE OF INVESTIGATION  </w:t>
        <w:br/>
        <w:t xml:space="preserve">(8) BANCO LIBERTA is a subsidiary of CAJASTUR and is controlled by it with at least 75% of its capital. The concentration operation implies that BANCO LIBERTA will come to hold 100% ownership of CCM's Banking Business.  </w:t>
        <w:br/>
        <w:t xml:space="preserve">(9) According to a report from the BDE, BANCO LIBERTA is currently an entity without activity.  </w:t>
        <w:br/>
        <w:t xml:space="preserve">(10) CAJA DE AHORROS CASTILLA LA MANCHA (CCM) is a financial entity (savings bank) with its registered office in Cuenca, belonging to the Spanish Confederation of Savings Banks and integrated into the FGD. It has a traditional business structure especially focused on Castilla la Mancha, with most of its income derived from its banking activity. It is not under the control of any natural or legal person.  </w:t>
        <w:br/>
        <w:t xml:space="preserve">(11) The activities of the CCM group are mainly grouped around CCM (Savings Bank) and Caja Castilla La Mancha Corporación, S.A. (CCM Corp).  </w:t>
        <w:br/>
        <w:t xml:space="preserve">(12) CCM Caja de Ahorros is primarily oriented towards banking activities and the realization of financial and industrial investments.  </w:t>
        <w:br/>
        <w:t xml:space="preserve">(13) CCM Corp is the main investment arm of CCM, holding stakes in companies from various economic sectors with different degrees of influence as well as in companies dependent on the Caja in order not to constitute single-member companies.  </w:t>
        <w:br/>
        <w:t xml:space="preserve">IV. MARKETS AFFECTED BY THE OPERATION.  </w:t>
        <w:br/>
        <w:t xml:space="preserve">(14) The economic sector involved in the notified operation is the banking sector, an activity to which both participants are dedicated, particularly retail banking.  </w:t>
        <w:br/>
        <w:t xml:space="preserve">(15) Existing national and community precedents have traditionally distinguished three segments within banking services:  </w:t>
        <w:br/>
        <w:t xml:space="preserve">(16) Retail banking: Retail banking services are aimed at the market of individuals, businesses, and SMEs. Retail banking maintains operations for a broad customer base that conducts a large number of small transactions, thus requiring an extensive network of branches to satisfy a large and often dispersed clientele. This segment encompasses various instruments such as deposit-taking, granting credits and loans, operations related to  </w:t>
        <w:br/>
        <w:t xml:space="preserve">1 Files C-0050/08 LA CAIXA / MORGAN STANLEY of the CNC; Files N-06098 EL MONTE / CAJA SAN FERNANDO, N-06053 BANCO SABADELL / BANCO URQUIJO and N-03077 BANCO SABADELL / BANCO ATLÁNTICO of the defunct SDC and Resolutions C51/00 CAJAS NAVARRAS, C43/99 CAIXA VIGO / CAIXA OURENSE / CAIXA PONTEVEDRA, C47/99 BBV / ARGENTARIA and C39/99 BANCO SANTANDER / BANCO CENTRAL HISPANOAMERICANO of the defunct TDC.  </w:t>
        <w:br/>
        <w:t>2 Cases M.4844 FORTIS / ABN AMRO ASSETS, M.3894 UNICREDITO / HVB and M.2225 FORTIS / ASR, among others.</w:t>
      </w:r>
    </w:p>
    <w:p>
      <w:r>
        <w:rPr>
          <w:b/>
        </w:rPr>
        <w:t>[Pages 4–6]</w:t>
      </w:r>
    </w:p>
    <w:p>
      <w:r>
        <w:t xml:space="preserve">DIRECTORATE OF INVESTIGATION  </w:t>
        <w:br/>
        <w:t xml:space="preserve">credit and debit cards and the marketing of off-balance sheet resources, such as investment funds, pension funds, and insurance.  </w:t>
        <w:br/>
        <w:t xml:space="preserve">(17) Both the CNC and the European Commission have considered in their most recent precedents that, for banking aimed at small savers and SMEs, the market is of a national character, due to the fact that competitive conditions in the Member States are significantly different, as a result, among other factors, of language differences, consumer preferences for local providers, different business cultures, and the importance that the branch network still holds in that banking segment. They also indicate a likely gradual decrease in these differences, as a result of the expansion of alternative distribution channels enabled by new technologies, especially in the areas of telephone and Internet banking.  </w:t>
        <w:br/>
        <w:t xml:space="preserve">(18) In the present operation, the effects of the same on the retail banking market will be analyzed both at the national and provincial levels.  </w:t>
        <w:br/>
        <w:t xml:space="preserve">(19) In its report, the BDE considers that the entities concentrate their activity in the national territory, with their geographic markets being complementary: CCM concentrates most of its activity in four provinces of Castilla la Mancha, where […] of the […] total offices are located, while CAJASTUR does so in the Principality of Asturias, where […] of its […] offices are concentrated.  </w:t>
        <w:br/>
        <w:t xml:space="preserve">(20) Corporate banking: This segment encompasses banking services to large companies and public bodies and institutions. Its activity takes place in large financial centers, in a few highly specialized operational units with highly qualified personnel. It includes different products such as deposits, short and long-term loans, guarantee credits, commercial paper management, foreign trade financing, swaps, leasing, and factoring.  </w:t>
        <w:br/>
        <w:t xml:space="preserve">(21) In the cited precedents, it has been considered that the relevant geographic scope is supranational, potentially global in the case of large corporations, although certain services continue to be offered at the national level, particularly for medium and small enterprises.  </w:t>
        <w:br/>
        <w:t xml:space="preserve">(22) Investment banking and operations in the money markets: This includes advisory services on the issuance of instruments, operations in financial markets, and private banking services (personalized advice to clients with large assets).  </w:t>
        <w:br/>
        <w:t xml:space="preserve">(23) As in the previous case, the precedents consider this market to be supranational, potentially global in the case of money market activities, and national for certain operations.  </w:t>
        <w:br/>
        <w:t xml:space="preserve">(24) Both CAJASTUR and CCM coincide in the Spanish market in the provision of retail banking services and, to a residual extent, in corporate banking and in investment banking and operations in the money markets.  </w:t>
        <w:br/>
        <w:t xml:space="preserve">(25) The participants are also present in other markets outside the banking sector, such as insurance.  </w:t>
        <w:br/>
        <w:t xml:space="preserve">V. SHARES OF THE PARTICIPANTS  </w:t>
        <w:br/>
        <w:t xml:space="preserve">(26) The combined share of the parties in Spain was below [0-10%] in retail banking, both in loans and deposits, in 2009.  </w:t>
        <w:br/>
        <w:t xml:space="preserve">(27) The activities of the participants in the operation overlap in the provinces of Alicante, Almería, Barcelona, Castellón, Guadalajara, Madrid, Málaga, Murcia, Sevilla, Toledo, Valencia, and Zaragoza. The only province where the combined share of the parties exceeds [10-20%], both in loans and deposits, is Toledo.  </w:t>
        <w:br/>
        <w:t xml:space="preserve">(28) According to the main criteria used by the CNC and the BDE to determine the competitive position of credit institutions (deposits, loans, and number of operational offices), the joint share of the parties in the province of Toledo would be [30-40%], [20-30%], and [20-30%], respectively, in 2009 (with share additions of less than [0-10] percentage points).  </w:t>
        <w:br/>
        <w:t xml:space="preserve">(29) According to the BDE report, with updated data as of March 31, 2010, the joint share of the parties in the province of Toledo regarding loans and deposits would be [20-30%] (which represents an increase of [0-10] percentage points) and [30-40%] (which represents an increase of [0-10] percentage points), respectively.  </w:t>
        <w:br/>
        <w:t xml:space="preserve">(30) The market shares of both CCM and CAJASTUR in the corporate banking market would be below [0-10%] in Spain.  </w:t>
        <w:br/>
        <w:t xml:space="preserve">(31) The market share of CAJASTUR in the national investment banking market is below [0-10%]. The market share of CCM is [0-10%].  </w:t>
        <w:br/>
        <w:t xml:space="preserve">(32) According to the notifying party, the presence of both parties in the insurance market is marginal since the individual and combined share of CAJASTUR and the banking business of CCM in life insurance and their respective segments is below [0-10%].  </w:t>
        <w:br/>
        <w:t xml:space="preserve">VI. ASSESSMENT  </w:t>
        <w:br/>
        <w:t xml:space="preserve">(33) This Directorate of Investigation considers that the present concentration does not pose a threat to effective competition, as the participation of the parties in the markets is of little significance.  </w:t>
        <w:br/>
        <w:t xml:space="preserve">(34) In particular, it is not expected that the operation will modify the competitive structure of the retail banking market, in the relevant geographic area, the entire national territory, where the joint shares are below [0-10%].  </w:t>
        <w:br/>
        <w:t xml:space="preserve">(35) Given the special impact of the present operation on Castilla la Mancha and Asturias, the natural territories of the parties, this Directorate of Investigation has also analyzed its local effects, concluding that no competition problems are expected, even in the province of Toledo, where the joint shares are above [10-20%], but with additions below [0-10] percentage points.  </w:t>
        <w:br/>
        <w:t xml:space="preserve">(36) The Directorate of Investigation considers that the operation will not negatively affect competition in the markets in which BANCO LIBERTA will operate and in which CAJASTUR currently provides its services, as their geographic scopes are complementary, with little overlap.  </w:t>
        <w:br/>
        <w:t xml:space="preserve">VII.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