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https://www.cnmc.es/expedientes/c024010</w:t>
      </w:r>
    </w:p>
    <w:p>
      <w:r>
        <w:t>Pages translated : 6</w:t>
      </w:r>
    </w:p>
    <w:p/>
    <w:p>
      <w:r>
        <w:rPr>
          <w:b/>
        </w:rPr>
        <w:t>[Pages 1–3]</w:t>
      </w:r>
    </w:p>
    <w:p>
      <w:r>
        <w:t xml:space="preserve">NATIONAL COMPETITION COMMISSION  </w:t>
        <w:br/>
        <w:t xml:space="preserve">RESOLUTION (File C-0240/10, CAJA DUERO/CAJA ESPAÑA)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June 30, 2010.</w:t>
      </w:r>
    </w:p>
    <w:p>
      <w:r>
        <w:t>Having reviewed the file processed in accordance with Law 15/2007, of July 3, on the Defense of Competition, regarding the merger between CAJA DE AHORROS DE SALAMANCA Y SORIA (CAJA DUERO) and CAJA ESPAÑA DE INVERSIONES CAJA DE AHORRO Y MONTE DE PIEDAD (CAJA ESPAÑA), through the creation of a new entity called CAJA ESPAÑA DE INVERSIONES, SALAMANCA Y SORIA, CAJA DE AHORROS Y MONTE DE PIEDAD (File C/0240/10),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FILE C/0240/10 CAJA DUERO / CAJA ESPAÑA</w:t>
      </w:r>
    </w:p>
    <w:p>
      <w:r>
        <w:t xml:space="preserve">I. BACKGROUND  </w:t>
        <w:br/>
        <w:t xml:space="preserve">(1) On May 25, 2010, a notification regarding the merger between Caja de Ahorros de Salamanca y Soria (“CAJA DUERO”) and Caja España de Inversiones Caja de Ahorro y Monte de Piedad (“CAJA ESPAÑA”) was received by the National Competition Commission (CNC). This merger involves the creation of a new entity named “Caja España de Inversiones, Salamanca y Soria, Caja de Ahorros y Monte de Piedad,” through a Common Merger Project signed by the parties on March 16, 2010.  </w:t>
        <w:br/>
        <w:t xml:space="preserve">(2) On May 27, 2010, this Directorate of Investigation requested from the Bank of Spain (BDE) the report provided for in Article 17.2.c) of Law 15/2007, of July 3, on the Defense of Competition (hereinafter LDC), in relation to the reference file. This report was received by the CNC on June 21, 2010.  </w:t>
        <w:br/>
        <w:t>(3) The deadline to agree to initiate the second phase of the procedure is July 20, 2010, inclusive. After this date, the notified operation will be considered tacitly authorized.</w:t>
      </w:r>
    </w:p>
    <w:p>
      <w:r>
        <w:t xml:space="preserve">II. APPLICABILITY OF LAW 15/2007 ON THE DEFENSE OF COMPETITION  </w:t>
        <w:br/>
        <w:t xml:space="preserve">(4) The notified operation is an economic concentration in the sense of Article 7.1 a) of the LDC.  </w:t>
        <w:br/>
        <w:t xml:space="preserve">(5) The operation is not of community dimension, as it does not reach the thresholds established in paragraphs 2 and 3 of Article 1 of Council Regulation (EC) No. 139/2004 of January 20, 2004, on the control of concentrations between undertakings.  </w:t>
        <w:br/>
        <w:t>(6) The notified operation meets the requirements set forth by the LDC as it exceeds the threshold established in Article 8.1 b) thereof; it also meets the requirements set forth in Article 56.1 b) of the aforementioned regulation.</w:t>
      </w:r>
    </w:p>
    <w:p>
      <w:r>
        <w:t xml:space="preserve">III. PARTICIPATING COMPANIES  </w:t>
        <w:br/>
        <w:t xml:space="preserve">(7) CAJA DUERO is a non-profit credit institution, of private foundational nature and social character that is not under the control of any other company, institution, or entity.  </w:t>
        <w:br/>
        <w:t xml:space="preserve">(8) The activity of CAJA DUERO in Spain focuses on the provision of banking services, mainly retail banking, with a network of 525 branches in 2009, of which 292 are located in Castilla y León. Marginally, CAJA DUERO carries out activities in other sectors through its corporation, Grupo de Negocios Duero, such as insurance, financial, and real estate.  </w:t>
        <w:br/>
        <w:t>(9) CAJA ESPAÑA is a financial institution of social and foundational character that is not controlled by any natural or legal person.</w:t>
      </w:r>
    </w:p>
    <w:p>
      <w:r>
        <w:t xml:space="preserve">DIRECTORATE OF INVESTIGATION  </w:t>
        <w:br/>
        <w:t>(10) CAJA ESPAÑA primarily provides banking services, focusing on retail banking services, with a network that in 2009 comprised 605 branches in Spain, of which 386 are located in Castilla y León. Additionally, CAJA ESPAÑA is present in a residual manner in other areas of activity through participation in companies in various sectors, such as insurance, financial services, and real estate.</w:t>
      </w:r>
    </w:p>
    <w:p>
      <w:r>
        <w:t xml:space="preserve">IV. PRODUCT AND GEOGRAPHIC MARKETS  </w:t>
        <w:br/>
        <w:t xml:space="preserve">(11) The main business of the entities involved in the operation is the provision of banking services.  </w:t>
        <w:br/>
        <w:t xml:space="preserve">(12) National1 and community2 precedents have traditionally distinguished three segments within banking services.  </w:t>
        <w:br/>
        <w:t xml:space="preserve">(13) Retail banking. Retail banking services are oriented towards the market of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deposit-taking, granting credits and loans, operations related to credit and debit cards, and the marketing of off-balance-sheet resources, such as investment funds, pension funds, and insurance.  </w:t>
        <w:br/>
        <w:t xml:space="preserve">(14) The CNC has considered in its most recent precedents3 that, for banking directed at small savers and SMEs, the market is of national character, due to the fact that competitive conditions in the Member States are significantly different, as a result, among other factors, of language differences, consumer preferences for local providers, different business cultures, and the importance that the branch network still holds in that banking segment. They also indicate that a gradual decrease in these differences is likely, as a result of the expansion of alternative distribution channels enabled by new technologies, especially in the areas of telephone and internet banking.  </w:t>
        <w:br/>
        <w:t>(15) As noted by the BDE in its report, the two participating entities concentrate most of their activity in the Autonomous Community of Castilla y León, in</w:t>
      </w:r>
    </w:p>
    <w:p>
      <w:r>
        <w:t xml:space="preserve">1 CNC Files: C-0227/10 GRUPO BANCA CÍVICA; C-0228/10 CAIXA MANLLEU/CAIXA SABADELL/CAIXA TERRASSA; C-0196/09 CAIXA CATALUNYA / CAIXA TARRAGONA / CAIXA MANRESA; C-0120/08 LLOYDS TSB / HBOS and C-0050/08 LA CAIXA / MORGAN STANLEY; Files from the defunct SDC: N-06098 EL MONTE / CAJA SAN FERNANDO, N-06053 BANCO SABADELL / BANCO URQUIJO and N-03077 BANCO SABADELL / BANCO ATLÁNTICO and Resolutions from the defunct TDC: C61/00 BANCO HERRERO / BANCO SABADELL, C51/00 CAJAS NAVARRAS, C43/99 CAIXA VIGO / CAIXA OURENSE / CAIXA PONTEVEDRA, C47/99 BBV / ARGENTARIA and C39/99 BANCO SANTANDER / BANCO CENTRAL HISPANOAMERICANO.  </w:t>
        <w:br/>
        <w:t xml:space="preserve">2 Cases M.4844 FORTIS / ABN AMRO ASSETS, M.3894 UNICREDITO / HVB and M.2225 FORTIS / ASR, among others.  </w:t>
        <w:br/>
        <w:t>3 C-0227/10 GRUPO BANCA CÍVICA; C-0228/10 CAIXA MANLLEU/CAIXA SABADELL/CAIXA TERRASSA and C-0196/09 CAIXA CATALUNYA/CAIXA TARRAGONA/CAIXA MANRESA.</w:t>
      </w:r>
    </w:p>
    <w:p>
      <w:r>
        <w:rPr>
          <w:b/>
        </w:rPr>
        <w:t>[Pages 4–6]</w:t>
      </w:r>
    </w:p>
    <w:p>
      <w:r>
        <w:t xml:space="preserve">INVESTIGATION DIRECTORATE  </w:t>
        <w:br/>
        <w:t xml:space="preserve">where 58% of the total of its branches are located, although they also have branches in the rest of Spain.  </w:t>
        <w:br/>
        <w:t xml:space="preserve">(16) Given the special concentration of the parties' activity in said Autonomous Community, the impact of the operation will be analyzed in the national market, in the Autonomous Community of Castilla y León, and in the narrower scope of its provinces, despite the fact that, for the reasons stated, this Investigation Directorate considers that, currently, the retail banking market is not of local dimension but national.  </w:t>
        <w:br/>
        <w:t xml:space="preserve">(17) Corporate banking. This segment includes banking services to large companies and public bodies and institutions. Its activity is developed in large financial centers, in a few highly specialized operational units and with highly qualified personnel. It includes different products such as deposits, short and long-term loans, guarantee credits, commercial paper management, foreign trade financing, swaps, leasing, and factoring.  </w:t>
        <w:br/>
        <w:t xml:space="preserve">(18) In this case, the cited precedents consider that the relevant geographical scope is supranational, potentially global in the case of large corporations, although certain services continue to be offered at the national level, particularly for medium and small enterprises.  </w:t>
        <w:br/>
        <w:t xml:space="preserve">(19) According to the notifying parties, the activity of the companies involved in this type of services is residual.  </w:t>
        <w:br/>
        <w:t xml:space="preserve">(20) Investment banking and operations in the money markets. This includes advisory services on the issuance of instruments, operations in financial markets, and private banking services (personalized advice to clients with large assets).  </w:t>
        <w:br/>
        <w:t xml:space="preserve">(21) As in the previous case, the precedents consider this market to be supranational, potentially global in the case of money market activities and national for certain operations.  </w:t>
        <w:br/>
        <w:t xml:space="preserve">(22) Both parties have marginal activity in the real estate and insurance segments.  </w:t>
        <w:br/>
        <w:t xml:space="preserve">V. SHARES OF THE PARTICIPANTS  </w:t>
        <w:br/>
        <w:t xml:space="preserve">(23) Based on the main criteria used by the CNC and the BDE to determine the competitive position of credit institutions (deposits, loans, and number of operational offices) and according to the information provided by the notifying parties, as well as the data contained in the BDE report as of June 21, 20104, the combined share of the parties in the Spanish retail banking market would not exceed [0-10]% for deposits5 during 2009.  </w:t>
        <w:br/>
        <w:t xml:space="preserve">4 The retail banking service shares reflected throughout the report are those provided by the BDE; these shares substantially coincide with those provided by the notifying parties.  </w:t>
        <w:br/>
        <w:t xml:space="preserve">5 Unless otherwise specified, all retail banking shares mentioned hereafter refer to deposits, the scenario in which the highest percentages result in the present case.  </w:t>
        <w:br/>
        <w:t xml:space="preserve">(24) In the Autonomous Community of Castilla y León, the combined share of the parties reached [20-30]% in 2009.  </w:t>
        <w:br/>
        <w:t xml:space="preserve">(25) At the provincial level, the combined share of CAJA DUERO and CAJA ESPAÑA exceeds 15% for any of the aforementioned estimation parameters, in the provinces of León (combined share of [40-50]%); Palencia ([30-40]%); Salamanca ([40-50]%); Soria ([30-40]%); Valladolid ([30-40]%) and Zamora ([40-50]%). In the remaining provinces of the national territory, the combined share of the participants was below [10-20]% in 2009.  </w:t>
        <w:br/>
        <w:t xml:space="preserve">(26) On the other hand, according to the information from the notifying parties, the combined shares of the parties in Spain during 2009 in the corporate banking and investment banking segments were below [0-10]% and [0-10]%, respectively.  </w:t>
        <w:br/>
        <w:t xml:space="preserve">(27) In the other markets where both participants are present (mainly, real estate and insurance services), the resulting share from the operation is below [0-10]% in all cases.  </w:t>
        <w:br/>
        <w:t xml:space="preserve">VI. ASSESSMENT  </w:t>
        <w:br/>
        <w:t xml:space="preserve">(28) Without prejudice to the assessment carried out by the competent authorities regarding the application of the FROB to this case, this Investigation Directorate considers that the present concentration does not pose a threat to effective competition in the markets.  </w:t>
        <w:br/>
        <w:t xml:space="preserve">(29) In particular, it is not expected that the operation will modify the competitive structure of the retail banking market in the relevant geographical area, the entire national territory, where the combined share of the participants is below [0-10]%.  </w:t>
        <w:br/>
        <w:t xml:space="preserve">(30) Given the special impact of the present operation on the Community of Castilla y León, this Investigation Directorate has also analyzed its regional and local effects, concluding that no competition problems are expected, as numerous retail banking service entities compete in these areas and no substantial entry barriers have been detected.  </w:t>
        <w:br/>
        <w:t xml:space="preserve">(31) In particular, in the case of the Community of Castilla y León, although the [20-30]% share of the resulting entity will reinforce the leadership position already enjoyed by both participants in the autonomous area, it must be taken into account that other competitors of significant size operate in the regional and national market, as confirmed in its report by the BDE.  </w:t>
        <w:br/>
        <w:t xml:space="preserve">(32) In the most restrictive scenario where each province is considered individually, the notified concentration will not pose an obstacle to effective competition, even in the provinces where a higher share (between 30 and 50%) is reached, since, in addition to national banking entities, other local competitors operate in these provinces that achieve an influence equal to or greater than that of the resulting entity.  </w:t>
        <w:br/>
        <w:t xml:space="preserve">(33) For its part, the BDE considers that the economic situation incorporates strong pressure for integration processes to be undertaken in the Spanish financial sector, in a context of clear overcapacity, and concludes, in relation to the notified concentration, that it does not hinder the maintenance of effective competition in the affected provincial and autonomous areas nor, much less, at the national level.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