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https://www.cnmc.es/expedientes/c024110</w:t>
      </w:r>
    </w:p>
    <w:p>
      <w:r>
        <w:t>Pages translated : 8</w:t>
      </w:r>
    </w:p>
    <w:p/>
    <w:p>
      <w:r>
        <w:rPr>
          <w:b/>
        </w:rPr>
        <w:t>[Pages 1–3]</w:t>
      </w:r>
    </w:p>
    <w:p>
      <w:r>
        <w:t xml:space="preserve">NATIONAL COMPETITION COMMISSION  </w:t>
        <w:br/>
        <w:t xml:space="preserve">RESOLUTION (File C-0241/10, PLASTIC OMNIUM/PEGUFORM-Assets)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In Madrid, on June 30, 2010.  </w:t>
        <w:br/>
        <w:t xml:space="preserve">Having reviewed the file processed in accordance with Law 15/2007, of July 3, on the Defense of Competition, regarding the acquisition by COMPAGNIE PLASTIC OMNIUM S.A. of exclusive control over certain assets of PEGUFORM IBÉRICA S.A., specifically an injection and painting plant for thermoplastic parts in Redondela (Pontevedra), as well as certain supply contracts (File C/0241/10), and being in agreement with the report and proposal submitted by the Directorate of Investigation, the Council of the National Competition Commission has resolved, pursuant to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C/0241/10 PLASTIC OMNIUM / PEGUFORM (Assets)  </w:t>
        <w:br/>
        <w:t xml:space="preserve">I. BACKGROUND  </w:t>
        <w:br/>
        <w:t xml:space="preserve">(1) On May 28, 2010, the National Competition Commission (CNC) received notification of an economic concentration operation consisting of the acquisition by COMPAGNIE PLASTIC OMNIUM, S.A. (PLASTIC OMNIUM) of exclusive control over certain assets of PEGUFORM IBÉRICA, S.A. (PEGUFORM), specifically an injection and painting plant for thermoplastic parts in Redondela (Pontevedra), as well as certain supply contracts.  </w:t>
        <w:br/>
        <w:t xml:space="preserve">(2) This notification has been made by PLASTIC OMNIUM, in accordance with Article 9 of Law 15/2007, of July 3, on the Defense of Competition (LDC), for exceeding the threshold established in Article 8.1.a). This operation is subject to the provisions of Royal Decree 261/2008, of February 22, which approves the Regulation on the Defense of Competition (RDC).  </w:t>
        <w:br/>
        <w:t xml:space="preserve">(3) Article 57.2.c) of the LDC establishes that the Council of the CNC shall issue a resolution in the first phase in which it may decide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  </w:t>
        <w:br/>
        <w:t xml:space="preserve">(5) On June 7, 2010, this Directorate of Investigation, pursuant to the provisions of Article 39.1 of the LDC, and in order to delineate the relevant markets considered, sent various requests for information to the main competitors and customers in Spain of the parties involved in the notified concentration operation.  </w:t>
        <w:br/>
        <w:t xml:space="preserve">(6) The last response to the previous requests was received by the CNC on June 18, 2010.  </w:t>
        <w:br/>
        <w:t xml:space="preserve">(7) According to the above, the deadline to decide to initiate the second phase of the procedure is July 9, 2010. After this date, the notified operation will be considered tacitly authorized.  </w:t>
        <w:br/>
        <w:t xml:space="preserve">II. NATURE OF THE OPERATION  </w:t>
        <w:br/>
        <w:t xml:space="preserve">(8) The concentration operation consists of the acquisition by PLASTIC OMNIUM of exclusive control over the assets of the injection and painting plant for thermoplastic parts in Redondela (Pontevedra), as well as certain supply contracts from a PEGUFORM plant in Teruel (which will be transferred to the Redondela plant).  </w:t>
        <w:br/>
        <w:t xml:space="preserve">(9) The operation has been formalized through an Asset and Liability Purchase Agreement executed on March 17, 2010, between PLASTIC OMNIUM and PEGUFORM.  </w:t>
        <w:br/>
        <w:t xml:space="preserve">(10) The execution of the operation is subject to obtaining the corresponding authorization from the National Competition Commission.  </w:t>
        <w:br/>
        <w:t xml:space="preserve">(11) The operation is an economic concentration in accordance with the provisions of Article 7.1.b) of the LDC.  </w:t>
        <w:br/>
        <w:t xml:space="preserve">III. APPLICABILITY OF LAW 15/2007 ON THE DEFENSE OF COMPETITION  </w:t>
        <w:br/>
        <w:t xml:space="preserve">(12) The operation is not of community dimension, as it does not reach the thresholds established in paragraphs 2 and 3 of Article 1 of Council Regulation (EC) No 139/2004, of January 20, on the control of concentrations between companies.  </w:t>
        <w:br/>
        <w:t xml:space="preserve">(13) The notified concentration operation meets the requirements set forth by the LDC for its mandatory notification as it exceeds the thresholds established in Article 8.1.a) of that Law. In contrast, the notified concentration operation does not meet the requirements set forth in Article 56 of the LDC for processing through a simplified form.  </w:t>
        <w:br/>
        <w:t xml:space="preserve">IV. ACCESSORY RESTRICTIONS  </w:t>
        <w:br/>
        <w:t xml:space="preserve">(14) The purchase agreement includes a non-solicitation clause, whereby the seller commits, for a period of [not exceeding 2 years]1 from the signing of the contract, not to hire any person who is part of the current workforce of the company subject to the sale.  </w:t>
        <w:br/>
        <w:t xml:space="preserve">(15) Paragraph 3 of Article 10 of the LDC establishes that "certain accessory restrictions on competition, directly linked to the operation and necessary for its realization, may be understood to be included."  </w:t>
        <w:br/>
        <w:t xml:space="preserve">(16) Furthermore, taking into account national and community precedents, as well as the Commission's Communication on restrictions directly linked to the realization of a concentration and necessary for that purpose (2005/C 56/03), it is considered that in the present case the content and duration of the non-solicitation clause does not go beyond what is reasonably required by the notified concentration operation.  </w:t>
        <w:br/>
        <w:t xml:space="preserve">1 Information in brackets has been declared confidential.  </w:t>
        <w:br/>
        <w:t>2</w:t>
      </w:r>
    </w:p>
    <w:p>
      <w:r>
        <w:rPr>
          <w:b/>
        </w:rPr>
        <w:t>[Pages 4–6]</w:t>
      </w:r>
    </w:p>
    <w:p>
      <w:r>
        <w:t xml:space="preserve">DIRECTORATE OF INVESTIGATION  </w:t>
        <w:br/>
        <w:t xml:space="preserve">V. PARTICIPATING COMPANIES  </w:t>
        <w:br/>
        <w:t xml:space="preserve">V.1 COMPAGNIE PLASTIC OMNIUM, S.A. (PLASTIC OMNIUM)  </w:t>
        <w:br/>
        <w:t xml:space="preserve">(17) PLASTIC OMNIUM is a company, parent of the PLASTIC OMNIUM group, which operates in two business areas, namely, (i) Automotive Equipment and (ii) Environment.  </w:t>
        <w:br/>
        <w:t xml:space="preserve">(18) The PLASTIC OMNIUM group operates worldwide, with 70 industrial facilities and around 11,000 employees, with its main clients being automobile manufacturers.  </w:t>
        <w:br/>
        <w:t xml:space="preserve">(19) The Automotive area designs and supplies a wide range of parts and modules as well as energy absorption systems, fender modules, bumpers, front carriers, and rear closure modules, through a network of industrial plants established in the EEA, of which only one plant is located in Spain (Arévalo).  </w:t>
        <w:br/>
        <w:t xml:space="preserve">(20) The turnover of the PLASTIC OMNIUM group in the last financial year according to Article 5 of the RDC, is, according to the notifier, as follows:  </w:t>
        <w:br/>
        <w:t xml:space="preserve">TURNOVER PLASTIC OMNIUM (millions of euros) 2009  </w:t>
        <w:br/>
        <w:t xml:space="preserve">WORLD EU SPAIN  </w:t>
        <w:br/>
        <w:t xml:space="preserve">[&lt;2,500] [&gt;250] [&gt;60]  </w:t>
        <w:br/>
        <w:t xml:space="preserve">Source: Notification  </w:t>
        <w:br/>
        <w:t xml:space="preserve">V.2 PEGUFORM ASSETS  </w:t>
        <w:br/>
        <w:t xml:space="preserve">(21) The assets subject to acquisition are the PEGUFORM plant located in Redondela (excluding certain contracts) and certain orders accepted by the PEGUFORM plant in Teruel, which consist of the production of automobile parts, specifically bumpers and, to a lesser extent, front carriers.  </w:t>
        <w:br/>
        <w:t xml:space="preserve">(22) The turnover of the PEGUFORM assets in the last financial year according to Article 5 of the RDC, is, according to the notifier, as follows:  </w:t>
        <w:br/>
        <w:t xml:space="preserve">TURNOVER PEGUFORM ASSETS (millions of euros) 2009  </w:t>
        <w:br/>
        <w:t xml:space="preserve">WORLD EU SPAIN  </w:t>
        <w:br/>
        <w:t xml:space="preserve">[&lt;2,500] [&lt;250] [&lt;60]  </w:t>
        <w:br/>
        <w:t xml:space="preserve">Source: Notification  </w:t>
        <w:br/>
        <w:t xml:space="preserve">VI. RELEVANT MARKETS  </w:t>
        <w:br/>
        <w:t xml:space="preserve">VI.1 Product Market  </w:t>
        <w:br/>
        <w:t xml:space="preserve">(23) The activities subject to this notified concentration operation are the manufacture of components, parts, and accessories for motor vehicles. Specifically, bumpers for automobile manufacturers (OEM).  </w:t>
        <w:br/>
        <w:t xml:space="preserve">(24) The parties also produce front carriers (plastic parts that serve as support for various parts between the heater and the bumpers) for automobile manufacturers (OEM). However, it is not necessary to analyze this activity in detail, as the presence of the resulting entity in Spain and the EEA is minimal, with a share of less than [0-10]%.  </w:t>
        <w:br/>
        <w:t xml:space="preserve">(25) Within the manufacture of automobile parts, various community precedents have distinguished between parts purchased by (i) Original Equipment Manufacturers (“OEM”) and Original Equipment Spare Parts (“OES”) and (ii) those purchased by an Independent Aftermarket (“IAM”). The IAM market consists of the supply of spare parts to wholesalers and independent distributors or to independent end users.  </w:t>
        <w:br/>
        <w:t xml:space="preserve">(26) The notifier shares that the IAM “aftermarket” for automotive components differs from the market for the supply of OEM components to automobile manufacturers for inclusion in a new vehicle or distribution as a spare part through its network of franchised shops. The different competitive conditions in the two indicated markets are based on a series of factors, namely, (i) customers, (ii) the production process, (iii) the product, and (iv) delivery.  </w:t>
        <w:br/>
        <w:t xml:space="preserve">(27) The activities of PLASTIC OMNIUM, as well as the PEGUFORM assets subject to acquisition, are limited to the OEM market.  </w:t>
        <w:br/>
        <w:t xml:space="preserve">(28) On the other hand, within the market for the manufacture of automobile parts, the notifier argues for the existence of a broad product market for the manufacture of plastic parts for automotive applications through thermoplastic injection for OEM.  </w:t>
        <w:br/>
        <w:t xml:space="preserve">(29) In this regard, the notifier argues that from the perspective of substitutability on the supply side, it is possible that an automotive parts operator with thermoplastic injection equipment can produce all types of automobile parts for OEM, including bumpers.  </w:t>
        <w:br/>
        <w:t xml:space="preserve">(30) However, the market research conducted by the Directorate of Investigation has revealed the need for significant investments to manufacture bumpers for automobiles. In particular, given that virtually all bumpers are painted, it is necessary to have plastic painting facilities. A painting facility for plastic involves a considerable investment that can range from 15 to 40 million euros and a lead time of about a year. For this reason, the substitutability on the supply side for the manufacture of automobile bumpers by a thermoplastic parts manufacturer that does not have these painting facilities is limited.  </w:t>
        <w:br/>
        <w:t xml:space="preserve">(31) Furthermore, there are precedents from the European Commission in which the manufacture of assembled bumpers for OEM automobiles has been analyzed, although the exact definition of this market has not been closed.  </w:t>
        <w:br/>
        <w:t xml:space="preserve">(32) For these reasons, for the purposes of this file, it will be considered that the relevant product market is the manufacture and marketing of bumpers for automobiles for OEM.  </w:t>
        <w:br/>
        <w:t xml:space="preserve">VI.2 Geographic Market  </w:t>
        <w:br/>
        <w:t xml:space="preserve">(33) According to various national and community precedents in the automotive sector, the relevant geographic market for the activities of manufacturing automotive components is the EEA. In any case, it is not necessary to pronounce on the exact delimitation of the relevant geographic scope for the purposes of this file, as it does not affect the conclusions of the analysis.  </w:t>
        <w:br/>
        <w:t xml:space="preserve">VII. MARKET ANALYSIS  </w:t>
        <w:br/>
        <w:t xml:space="preserve">VII.1 Supply Structure  </w:t>
        <w:br/>
        <w:t xml:space="preserve">(34) The supply in the market for the manufacture and marketing of bumpers is relatively concentrated, both in the EEA and in Spain, as can be seen in the following tables.  </w:t>
        <w:br/>
        <w:t xml:space="preserve">Manufacture and sale of bumpers for OEM in the EEA  </w:t>
        <w:br/>
        <w:t xml:space="preserve">2009  </w:t>
        <w:br/>
        <w:t xml:space="preserve">Value Volume  </w:t>
        <w:br/>
        <w:t xml:space="preserve">(000 €) % (000’ %  </w:t>
        <w:br/>
        <w:t xml:space="preserve">Units)  </w:t>
        <w:br/>
        <w:t xml:space="preserve">[10-  </w:t>
        <w:br/>
        <w:t xml:space="preserve">Plastal […] [10-20]% […]  </w:t>
        <w:br/>
        <w:t xml:space="preserve">20]%  </w:t>
        <w:br/>
        <w:t xml:space="preserve">[10-  </w:t>
        <w:br/>
        <w:t xml:space="preserve">Plastic Omnium […] [10-20]% […]  </w:t>
        <w:br/>
        <w:t xml:space="preserve">20]%  </w:t>
        <w:br/>
        <w:t xml:space="preserve">Acquired assets […] [0-10]% […] [0-10]%  </w:t>
        <w:br/>
        <w:t xml:space="preserve">Plastic Omnium + [10-  </w:t>
        <w:br/>
        <w:t xml:space="preserve">[…] [20-30]% […]  </w:t>
        <w:br/>
        <w:t xml:space="preserve">Acquired assets 20]%  </w:t>
        <w:br/>
        <w:t xml:space="preserve">[10-  </w:t>
        <w:br/>
        <w:t xml:space="preserve">Decoma […] [10-20]% […]  </w:t>
        <w:br/>
        <w:t xml:space="preserve">20]%  </w:t>
        <w:br/>
        <w:t xml:space="preserve">[10-  </w:t>
        <w:br/>
        <w:t xml:space="preserve">Peguform […] [10-20]% […]  </w:t>
        <w:br/>
        <w:t xml:space="preserve">20]%  </w:t>
        <w:br/>
        <w:t xml:space="preserve">[10-  </w:t>
        <w:br/>
        <w:t xml:space="preserve">Faurecia […] [10-20]% […]  </w:t>
        <w:br/>
        <w:t xml:space="preserve">20]%  </w:t>
        <w:br/>
        <w:t xml:space="preserve">Rehau […] [0-10]% […] [0-10]%  </w:t>
        <w:br/>
        <w:t xml:space="preserve">IAC […] [0-10]% […] [0-10]%  </w:t>
        <w:br/>
        <w:t xml:space="preserve">Others […] [0-10]% […] [0-10]%  </w:t>
        <w:br/>
        <w:t xml:space="preserve">Total […] 100% […] 100%  </w:t>
        <w:br/>
        <w:t>2 Cases M.1569 GRANGES/NORSK HYDRO and M.5799 FAURECIA/PLASTAL</w:t>
      </w:r>
    </w:p>
    <w:p>
      <w:r>
        <w:rPr>
          <w:b/>
        </w:rPr>
        <w:t>[Pages 7–8]</w:t>
      </w:r>
    </w:p>
    <w:p>
      <w:r>
        <w:t xml:space="preserve">DIRECTORATE OF INVESTIGATION  </w:t>
        <w:br/>
        <w:t xml:space="preserve">Manufacturing and sale of bumpers for OEM  </w:t>
        <w:br/>
        <w:t xml:space="preserve">SPAIN 2009  </w:t>
        <w:br/>
        <w:t xml:space="preserve">Value Volume  </w:t>
        <w:br/>
        <w:t xml:space="preserve">(000 €) % (000’ %  </w:t>
        <w:br/>
        <w:t xml:space="preserve">Units)  </w:t>
        <w:br/>
        <w:t xml:space="preserve">[20-  </w:t>
        <w:br/>
        <w:t xml:space="preserve">Plastal […] [20-30]% […]  </w:t>
        <w:br/>
        <w:t xml:space="preserve">30]%  </w:t>
        <w:br/>
        <w:t xml:space="preserve">[20-  </w:t>
        <w:br/>
        <w:t xml:space="preserve">Plastic Omnium […] [20-30]% […]  </w:t>
        <w:br/>
        <w:t xml:space="preserve">30]%  </w:t>
        <w:br/>
        <w:t xml:space="preserve">Acquired assets […] [10-20]% […] [0-10]%  </w:t>
        <w:br/>
        <w:t xml:space="preserve">Plastic Omnium + [30-  </w:t>
        <w:br/>
        <w:t xml:space="preserve">[…] [30-40]% […]  </w:t>
        <w:br/>
        <w:t xml:space="preserve">Acquired assets 40]%  </w:t>
        <w:br/>
        <w:t xml:space="preserve">[10-  </w:t>
        <w:br/>
        <w:t xml:space="preserve">IAC […] [10-20]% […]  </w:t>
        <w:br/>
        <w:t xml:space="preserve">20]%  </w:t>
        <w:br/>
        <w:t xml:space="preserve">[10-  </w:t>
        <w:br/>
        <w:t xml:space="preserve">Peguform […] [10-20]% […]  </w:t>
        <w:br/>
        <w:t xml:space="preserve">20]%  </w:t>
        <w:br/>
        <w:t xml:space="preserve">Faurecia […] [0-10]% […] [0-10]%  </w:t>
        <w:br/>
        <w:t xml:space="preserve">Total […] 100% […] 100%  </w:t>
        <w:br/>
        <w:t xml:space="preserve">Source: Notification  </w:t>
        <w:br/>
        <w:t xml:space="preserve">(35) In any case, it is worth noting that the seller, PEGUFORM, will remain as an operator in this market, with a market share in value in 2009 of [10-20]% in the EEA and [10-20]% in Spain.  </w:t>
        <w:br/>
        <w:t xml:space="preserve">VII.2 Demand Structure  </w:t>
        <w:br/>
        <w:t xml:space="preserve">(36) The demand for OEM bumpers is represented by automobile manufacturers, or by the assemblers of front modules designated by automobile manufacturers.  </w:t>
        <w:br/>
        <w:t xml:space="preserve">(37) According to the notifier, demand aligns with the criteria and supply strategies of automobile manufacturers, who typically distribute supply contracts among several suppliers based on long-term supplier reliability parameters in terms of financial stability, geographical positioning, prices, technological capacity, and innovation.  </w:t>
        <w:br/>
        <w:t xml:space="preserve">(38) It is important to highlight that, according to the notifier, the mold for the bumpers is designed by the automobile manufacturer, although its manufacturing is entrusted to the bumper supplier, and this mold is owned by the automobile manufacturer.  </w:t>
        <w:br/>
        <w:t xml:space="preserve">(39) The notifier also points out that there are no exclusive distribution contracts since the products are manufactured, delivered, and sold directly by the supplier to the automobile manufacturer. There are no long-term supply contracts.  </w:t>
        <w:br/>
        <w:t>(40) It should be noted that demand is relatively concentrated, and that bumper manufacturers typically have a main customer that represents a large portion of their sales.</w:t>
      </w:r>
    </w:p>
    <w:p>
      <w:r>
        <w:t xml:space="preserve">DIRECTORATE OF INVESTIGATION  </w:t>
        <w:br/>
        <w:t xml:space="preserve">VIII. VALUATION  </w:t>
        <w:br/>
        <w:t xml:space="preserve">(41) The notified concentration operation consists of the acquisition by PLASTIC OMNIUM of certain assets for the manufacture and marketing of bumpers for automobiles for OEM.  </w:t>
        <w:br/>
        <w:t xml:space="preserve">(42) As a result of the concentration operation, PLASTIC OMNIUM approaches the leading operator in the EEA, with a resulting market share in value in 2009 of [10-20]%, and becomes the leading operator in Spain, with a share of [30-40]%.  </w:t>
        <w:br/>
        <w:t xml:space="preserve">(43) In any case, both in the EEA and in Spain, significant competitors continue to exist, including the seller itself, PEGUFORM, which still maintains assets for the manufacture of bumpers in Spain and the rest of the EEA.  </w:t>
        <w:br/>
        <w:t xml:space="preserve">(44) On the other hand, it should be taken into account that in this case there is significant compensatory demand power, derived from automobile manufacturers, which would likely offset the potential strengthening of the competitive position of the resulting entity, whose sales depend on a small number of manufacturers, and which in most cases use several suppliers simultaneously.  </w:t>
        <w:br/>
        <w:t xml:space="preserve">(45) In light of the above, and in line with the results of the market test, it is not expected that the notified concentration operation poses a threat to effective competition in the relevant market, and therefore it is susceptible to being approved in the first phase without commitments.  </w:t>
        <w:br/>
        <w:t xml:space="preserve">IX. PROPOSAL  </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