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https://www.cnmc.es/expedientes/c024310</w:t>
      </w:r>
    </w:p>
    <w:p>
      <w:r>
        <w:t>Pages translated : 3</w:t>
      </w:r>
    </w:p>
    <w:p/>
    <w:p>
      <w:r>
        <w:rPr>
          <w:b/>
        </w:rPr>
        <w:t>[Pages 1–3]</w:t>
      </w:r>
    </w:p>
    <w:p>
      <w:r>
        <w:t>NATIONAL COMPETITION COMMISSION RESOLUTION (File C-0243/10, COVIDIEN-EV3) COUNCIL D. Luis Berenguer Fuster, President Dª Pilar Sánchez Núñez, Vice President D. Julio Costas Comesaña, Council Member Dª Mª Jesús González López, Council Member Dª Inmaculada Gutiérrez Carrizo, Council Member In Madrid, on July 7, 2010. Having reviewed the file processed in accordance with Law 15/2007, of July 3, on the Defense of Competition, regarding the acquisition by COVIDIEN GROUP S.à.r.l. of exclusive control over EV3 Inc (File C/0243/10), and agreeing with the report and proposal submitted by the Directorate of Investigation, the Council of the National Competition Commission has resolved, pursuant to Article 57.2.a) of the aforementioned Law, to authorize the said concentration operation in the first phase. This Resolution shall be communicated to the Directorate of Investigation of the National Competition Commission and notified to the interested parties, informing them that it concludes the administrative procedure and that a contentious-administrative appeal may be filed against it before the National Court, within two months from its notification.</w:t>
      </w:r>
    </w:p>
    <w:p>
      <w:r>
        <w:t>DIRECTORATE OF INVESTIGATION REPORT AND PROPOSAL FOR RESOLUTION FILE C/0243/10 COVIDIEN/EV3 I. BACKGROUND (1) On June 17, 2010, the National Competition Commission (CNC) received a notification regarding the acquisition by COVIDIEN GROUP, S.à.r.l. (COVIDIEN) of exclusive control over EV3, Inc. (EV3). (2) According to the merger agreement signed with EV3 on June 11, 2010, COVIDIEN made a public offer to acquire 100% of EV3's shares. The acceptance period for the offer expires on July 9, 2010. Assuming a sufficient number of acceptances is reached, EV3 will merge with COVIDIEN Delaware, a 100% subsidiary of the acquirer, with EV3 being the surviving company. (3) The deadline to agree to initiate the second phase of the procedure is July 17, 2010, inclusive. After this date, the notified operation will be considered tacitly authorized. II. APPLICABILITY OF LAW 15/2007 ON THE DEFENSE OF COMPETITION (4) The notified operation is an economic concentration in the sense of Article 7.1 b) of the LDC. (5) The operation is not of community dimension, as it does not reach the thresholds established in paragraphs 2 and 3 of Article 1 of Council Regulation (EC) No. 139/2004 of January 20, 2004, on the control of concentrations between companies. (6) The notified operation meets the requirements set forth by the LDC as it exceeds the threshold established in Article 8.1.a) of the same and complies with the requirements set forth in Article 56.1 a of the aforementioned regulation. III. PARTICIPATING COMPANIES (7) COVIDIEN is a subsidiary of COVIDIEN, P.L.C., a company listed on the New York Stock Exchange and not controlled by any other company or individual. Its main activity is the manufacture and distribution of healthcare products, operating in three business segments: medical devices, pharmaceuticals, and medical supplies. (8) EV3 is a publicly traded company, not controlled by any individual or legal entity, and its main activity is the manufacture and marketing of technologies and medical solutions for the treatment of endovascular and neurovascular diseases.</w:t>
      </w:r>
    </w:p>
    <w:p>
      <w:r>
        <w:t>DIRECTORATE OF INVESTIGATION IV. ASSESSMENT (9) This Directorate of Investigation considers that the present concentration does not pose a threat to effective competition in the markets, as there is no horizontal or vertical overlap between the parties to the operation. V. PROPOSAL In light of all the above and by virtue of Article 57.1 of Law 15/2007, of July 3, on the Defense of Competition, it is proposed to authorize the concentration, pursuant to Article 57.2.a)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