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https://www.cnmc.es/expedientes/c024410</w:t>
      </w:r>
    </w:p>
    <w:p>
      <w:r>
        <w:t>Pages translated : 6</w:t>
      </w:r>
    </w:p>
    <w:p/>
    <w:p>
      <w:r>
        <w:rPr>
          <w:b/>
        </w:rPr>
        <w:t>[Pages 1–3]</w:t>
      </w:r>
    </w:p>
    <w:p>
      <w:r>
        <w:t xml:space="preserve">NATIONAL COMPETITION COMMISSION  </w:t>
        <w:br/>
        <w:t xml:space="preserve">RESOLUTION (File C-0244/10, LA CAIXA/CAIXA GIRONA)  </w:t>
        <w:br/>
        <w:t xml:space="preserve">COUNCIL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July 14, 2010.</w:t>
      </w:r>
    </w:p>
    <w:p>
      <w:r>
        <w:t>Having reviewed the file processed in accordance with Law 15/2007, of July 3, on the Defense of Competition, regarding the exclusive control acquisition of CAIXA D'ESTALVIS DE GIRONA by CAIXA D'ESTALVIS I PENSIONS DE BARCELONA, through the merger by absorption of the former by the latter (File C/0244/10), and agreeing with the report and proposal submitted by the Research Directorate, the Council of the National Competition Commission has resolved, in application of Article 57.2.a) of the aforementioned Law, to authorize the said concentration operation in the first phase.</w:t>
      </w:r>
    </w:p>
    <w:p>
      <w:r>
        <w:t>This Resolution shall be communicated to the Research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 xml:space="preserve">RESEARCH DIRECTORATE  </w:t>
        <w:br/>
        <w:t xml:space="preserve">REPORT AND PROPOSED RESOLUTION  </w:t>
        <w:br/>
        <w:t>FILE C/0244/10 LA CAIXA/CAIXA GIRONA</w:t>
      </w:r>
    </w:p>
    <w:p>
      <w:r>
        <w:t>I. BACKGROUND</w:t>
      </w:r>
    </w:p>
    <w:p>
      <w:r>
        <w:t>(1) On June 22, 2010, the National Competition Commission (CNC) received a notification regarding the exclusive control acquisition of CAIXA D'ESTALVIS DE GIRONA ("CAIXA GIRONA") by CAIXA D'ESTALVIS I PENSIONS DE BARCELONA ("LA CAIXA"), through the merger by absorption of the former by the latter.</w:t>
      </w:r>
    </w:p>
    <w:p>
      <w:r>
        <w:t>(2) On June 24, 2010, this Research Directorate requested from the Bank of Spain (BDE) the report provided for in Article 17.2.c) of Law 15/2007, of July 3, on the Defense of Competition (hereinafter LDC), in relation to the referenced file. This report was received by the CNC on July 8, 2010.</w:t>
      </w:r>
    </w:p>
    <w:p>
      <w:r>
        <w:t>(3) The deadline to agree to initiate the second phase of the procedure is August 5, 2010, inclusive. After this date, the notified operation will be considered tacitly authorized.</w:t>
      </w:r>
    </w:p>
    <w:p>
      <w:r>
        <w:t>II. APPLICABILITY OF LAW 15/2007 ON THE DEFENSE OF COMPETITION</w:t>
      </w:r>
    </w:p>
    <w:p>
      <w:r>
        <w:t>(4) The notified operation is an economic concentration in the sense of Article 7.1 b) of the LDC.</w:t>
      </w:r>
    </w:p>
    <w:p>
      <w:r>
        <w:t>(5) The operation is not of community dimension, since, although the turnover of the parties exceeds the thresholds established in paragraphs 2 and 3 of Article 1 of Council Regulation (EC) No. 139/2004 of January 20, 2004, on the control of concentrations between companies, it is carried out almost exclusively in Spain.</w:t>
      </w:r>
    </w:p>
    <w:p>
      <w:r>
        <w:t>(6) The notified operation meets the requirements set forth by the LDC as it exceeds the threshold established in Article 8.1 b) of the same and complies with the requirements set forth in Article 56.1 b) of the aforementioned regulation.</w:t>
      </w:r>
    </w:p>
    <w:p>
      <w:r>
        <w:t>III. PARTICIPATING COMPANIES</w:t>
      </w:r>
    </w:p>
    <w:p>
      <w:r>
        <w:t>(7) LA CAIXA is a credit institution of a foundational nature and social welfare character that is not controlled by any natural or legal person.</w:t>
      </w:r>
    </w:p>
    <w:p>
      <w:r>
        <w:t>(8) The main activity of LA CAIXA is the provision of banking services, primarily retail banking, having in 2009 a network of 5,315 offices distributed throughout Spain, of which [30-40%]1 are concentrated in Catalonia.</w:t>
      </w:r>
    </w:p>
    <w:p>
      <w:r>
        <w:t>(9) LA CAIXA is also the parent company of the group of the same name, consisting of a set of companies engaged, among others, in banking activities, insurance and pension plans, real estate, and the holding and management of industrial participations.</w:t>
      </w:r>
    </w:p>
    <w:p>
      <w:r>
        <w:t>(10) CAIXA GIRONA is a financial institution of a social and foundational nature that is not controlled by any natural or legal person.</w:t>
      </w:r>
    </w:p>
    <w:p>
      <w:r>
        <w:t>(11) CAIXA GIRONA primarily provides banking services, focusing on retail banking services, with a network of 229 offices located mainly in Catalonia and more specifically in the province of Girona where [50-60%] of its branches are located.</w:t>
      </w:r>
    </w:p>
    <w:p>
      <w:r>
        <w:t>(12) The business group controlled by CAIXA GIRONA includes companies that carry out banking and real estate promotion activities.</w:t>
      </w:r>
    </w:p>
    <w:p>
      <w:r>
        <w:t>IV. MARKETS AFFECTED BY THE OPERATION</w:t>
      </w:r>
    </w:p>
    <w:p>
      <w:r>
        <w:t>(13) The economic sector involved in the operation is the provision of banking services, in which both parties are active. Residually, they are also active in the real estate sector.</w:t>
      </w:r>
    </w:p>
    <w:p>
      <w:r>
        <w:t>(14) National2 and community3 precedents have distinguished three segments within the banking services sector (retail banking, corporate banking, and investment banking), based on criteria derived from the characteristics of demand and the nature and composition of the type of services offered. Furthermore, each of these segments operates through different sales channels, so that the characteristics of competition differ in each of them:</w:t>
      </w:r>
    </w:p>
    <w:p>
      <w:r>
        <w:t>(15) Retail banking: Retail banking services are aimed at the market of individuals, businesses, and SMEs. Retail banking maintains operations for a broad customer base that performs a large number of small transactions, thus requiring a wide network of branches to serve a large and often dispersed clientele. This segment encompasses various instruments such as deposit gathering, granting credits and loans, and operations related to</w:t>
      </w:r>
    </w:p>
    <w:p>
      <w:r>
        <w:t xml:space="preserve">1 Parts of the report whose exact content has been declared confidential are inserted in brackets.  </w:t>
        <w:br/>
        <w:t xml:space="preserve">2 Files C-0050/08 LA CAIXA / MORGAN STANLEY of the CNC; Files N-06098 EL MONTE / CAJA SAN FERNANDO, N-06053 BANCO SABADELL / BANCO URQUIJO and N-03077 BANCO SABADELL / BANCO ATLÁNTICO of the former SDC and Resolutions C51/00 CAJAS NAVARRAS, C43/99 CAIXA VIGO / CAIXA OURENSE / CAIXA PONTEVEDRA, C47/99 BBV / ARGENTARIA and C39/99 BANCO SANTANDER / BANCO CENTRAL HISPANOAMERICANO of the former TDC.  </w:t>
        <w:br/>
        <w:t>3 Cases M.4844 FORTIS / ABN AMRO ASSETS, M.3894 UNICREDITO / HVB and M.2225 FORTIS / ASR, among others.</w:t>
      </w:r>
    </w:p>
    <w:p>
      <w:r>
        <w:rPr>
          <w:b/>
        </w:rPr>
        <w:t>[Pages 4–6]</w:t>
      </w:r>
    </w:p>
    <w:p>
      <w:r>
        <w:t xml:space="preserve">RESEARCH DIRECTORATE  </w:t>
        <w:br/>
        <w:t xml:space="preserve">credit and debit cards and the marketing of off-balance sheet resources, such as investment funds, pension funds, and insurance.  </w:t>
        <w:br/>
        <w:t xml:space="preserve">(16) Both the CNC and the Commission in their most recent precedents4 have considered that retail banking is of a national character, due to the fact that competitive conditions in the Member States are significantly different from each other, as a consequence, among other factors, of language differences, consumer preferences for local providers, different business cultures, and the importance that the branch network still maintains in that banking segment. However, they indicate a likely gradual reduction of these differences, as a result of the expansion of alternative distribution channels enabled by new technologies, especially in the areas of telephone and Internet banking.  </w:t>
        <w:br/>
        <w:t xml:space="preserve">(17) Corporate banking: This segment encompasses banking services to large companies and public bodies and institutions. Its activity takes place in large financial centers, in few highly specialized operational units with highly qualified personnel. It includes different products such as deposits, short and long-term loans, guarantee credits, commercial paper management, foreign trade financing, swaps, leasing, and factoring.  </w:t>
        <w:br/>
        <w:t xml:space="preserve">(18) In the cited precedents, it has been considered that the relevant geographical scope is supranational, potentially global in the case of large corporations, although certain services continue to be offered at the national level, particularly for medium and small enterprises.  </w:t>
        <w:br/>
        <w:t xml:space="preserve">(19) Investment banking and operations in the money markets: This includes advisory services on the issuance of instruments, operations in financial markets, and private banking services (personalized advice to clients with large assets).  </w:t>
        <w:br/>
        <w:t xml:space="preserve">(20) As in the previous case, the precedents consider this market to be of supranational scope, potentially global in the case of money market activities, and national for certain operations.  </w:t>
        <w:br/>
        <w:t xml:space="preserve">(21) The activities of LA CAIXA and CAIXA GIRONA coincide in the markets of retail banking and investment banking. Regarding the corporate banking market, only LA CAIXA is present, as CAIXA GIRONA does not have a differentiated policy in this area.  </w:t>
        <w:br/>
        <w:t xml:space="preserve">(22) The parties are also active in the real estate sector, although in a residual manner (their combined share is below [0-10%]), so it will not be subject to further analysis.  </w:t>
        <w:br/>
        <w:t xml:space="preserve">4 C-0196/09 CAIXA CATALUNYA/CAIXA TARRAGONA/CAIXA MANRESA and C-0228/10 CAIXA MANLLEU/CAIXA SABADELL/CAIXA TERRASA.  </w:t>
        <w:br/>
        <w:t>3</w:t>
      </w:r>
    </w:p>
    <w:p>
      <w:r>
        <w:t xml:space="preserve">RESEARCH DIRECTORATE  </w:t>
        <w:br/>
        <w:t xml:space="preserve">V. SHARES OF THE PARTICIPANTS  </w:t>
        <w:br/>
        <w:t xml:space="preserve">(23) Based on the main criteria used by the CNC and the BDE to determine the competitive position of credit institutions (deposits and loans) and according to the information provided by the notifying parties, the resulting share from the operation amounts to [10-20%] of the Spanish retail banking market, in terms of loans, and [10-20%] in terms of deposits during 2009. These data are consistent with those of the BDE5.  </w:t>
        <w:br/>
        <w:t xml:space="preserve">(24) The activities of LA CAIXA and CAIXA GIRONA mainly coincide in the Autonomous Community of Catalonia, where the combined share amounts to [20-30%] in loans, and [30-40%] in terms of deposits, according to 2009 data.  </w:t>
        <w:br/>
        <w:t xml:space="preserve">(25) At the provincial level, the combined share presents particularly significant figures in Girona, where it reaches [20-30%] and [50-60%] of the retail banking market, in terms of loans and deposits, respectively, according to 2009 data, with an addition of [20-30] percentage points in terms of deposits.  </w:t>
        <w:br/>
        <w:t xml:space="preserve">(26) In the field of investment banking, the resulting share from the operation is [10-20%] of the national market, according to 2009 data provided by the notifier.  </w:t>
        <w:br/>
        <w:t xml:space="preserve">(27) The share of LA CAIXA in the national corporate banking market amounts to [0-10%].  </w:t>
        <w:br/>
        <w:t xml:space="preserve">VI. ASSESSMENT  </w:t>
        <w:br/>
        <w:t xml:space="preserve">(28) The operation will slightly strengthen the position that LA CAIXA holds in the national retail banking market, particularly relevant for the operation, where it will reach a share of [10-20%] in terms of loan granting, and [10-20%] in terms of deposit gathering, with additions of share lower than [0-10] percentage points.  </w:t>
        <w:br/>
        <w:t xml:space="preserve">(29) In the Autonomous Community of Catalonia, the operation will strengthen LA CAIXA's leading position in the retail banking market by around [0-10] percentage points, with combined shares of [20-30%] and [30-40%], in loans and deposits.  </w:t>
        <w:br/>
        <w:t xml:space="preserve">(30) At the provincial level, the impact of the operation is only relevant in Girona, the province of origin of the absorbed entity, where the resulting entity will reach a share of [50-60%] of the retail banking market, in terms of deposits, with an addition of [20-30] percentage points.  </w:t>
        <w:br/>
        <w:t xml:space="preserve">(31) However, given the presence of numerous retail banking service entities competing in these areas and the absence of substantial entry barriers, it is not expected that the notified operation will pose an obstacle to competition in the considered markets.  </w:t>
        <w:br/>
        <w:t xml:space="preserve">(32) In this regard, the BDE has expressed that the economic situation incorporates strong pressure for integration processes in the Spanish financial sector, in a context of clear overcapacity, and concludes, regarding the notified concentration, that it does not hinder the maintenance of effective competition in the affected regional market nor, much less, in the national market.  </w:t>
        <w:br/>
        <w:t xml:space="preserve">VII. PROPOSAL  </w:t>
        <w:br/>
        <w:t xml:space="preserve">In light of all the above and by virtue of Article 57.1 of Law 15/2007, of July 3, on the Defense of Competition, it is proposed to authorize the concentration, in application of Article 57.2.a) of Law 15/2007, of July 3, on the Defense of Competition.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