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https://www.cnmc.es/expedientes/c024510</w:t>
      </w:r>
    </w:p>
    <w:p>
      <w:r>
        <w:t>Pages translated : 1</w:t>
      </w:r>
    </w:p>
    <w:p/>
    <w:p>
      <w:r>
        <w:rPr>
          <w:b/>
        </w:rPr>
        <w:t>[Pages 1–1]</w:t>
      </w:r>
    </w:p>
    <w:p>
      <w:r>
        <w:t>NATIONAL COMPETITION COMMISSION</w:t>
        <w:br/>
        <w:t>RESOLUTION (File C-0245/10, LIPSA/CARGILL)</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July 29, 2010.</w:t>
      </w:r>
    </w:p>
    <w:p>
      <w:r>
        <w:t>Having reviewed the file processed in accordance with Law 15/2007, of July 3, on the Defense of Competition, concerning the acquisition by LIPIDOS SANTIGA S.A. of the bulk refined sunflower oil marketing business that CARGILL S.L.U. owns at its plant in Seville (File C/0245/10), and in agreement with the report and proposal submitted by the Investigation Directorate, the Council of the National Competition Commission has resolved, in application of Article 57.2.e) to archive the concentration.</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