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https://www.cnmc.es/expedientes/c024610</w:t>
      </w:r>
    </w:p>
    <w:p>
      <w:r>
        <w:t>Pages translated : 1</w:t>
      </w:r>
    </w:p>
    <w:p/>
    <w:p>
      <w:r>
        <w:rPr>
          <w:b/>
        </w:rPr>
        <w:t>[Pages 1–1]</w:t>
      </w:r>
    </w:p>
    <w:p>
      <w:r>
        <w:t>NATIONAL COMPETITION COMMISSION RESOLUTION (Case C-0246/10, DIMA/SIGLO XXI GUADALAJARA) COUNCIL Mr. Luis Berenguer Fuster, President Ms. Pilar Sánchez Núñez, Vice President Mr. Julio Costas Comesaña, Council Member Ms. Mª Jesús González López, Council Member Ms. Inmaculada Gutiérrez Carrizo, Council Member In Madrid, on October 6, 2010. Having reviewed the case processed in accordance with Law 15/2007, of July 3, on the Defense of Competition, concerning the acquisition by DIMA Distribución Integral S.L. (DIMA) of exclusive control over Distribución de Publicaciones Siglo XXI Guadalajara S.L. (SIGLO XXI GUADALAJARA). (Case C/0246/10) and in agreement with the report and proposal submitted by the Investigation Directorate, the Council of the National Competition Commission has resolved, in application of Article 58.4.d) of the aforementioned Law, to archive the proceedings due to the withdrawal of the applicant. All of this without prejudice to the provisions of Article 9 of Law 15/2007, of July 3, on the Defense of Competition, in the event that DIMA and SIGLO XXI GUADALAJARA enter into a new agreement that may give rise to a notifiable economic concentration operation in accordance with the criteria of Law 15/2007, of July 3, on the Defense of Competition.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