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https://www.cnmc.es/expedientes/c024910</w:t>
      </w:r>
    </w:p>
    <w:p>
      <w:r>
        <w:t>Pages translated : 3</w:t>
      </w:r>
    </w:p>
    <w:p/>
    <w:p>
      <w:r>
        <w:rPr>
          <w:b/>
        </w:rPr>
        <w:t>[Pages 1–3]</w:t>
      </w:r>
    </w:p>
    <w:p>
      <w:r>
        <w:t xml:space="preserve">NATIONAL COMPETITION  </w:t>
        <w:br/>
        <w:t xml:space="preserve">COMMISSION  </w:t>
        <w:br/>
        <w:t xml:space="preserve">RESOLUTION (File C-0249/10, HUF INTERNATIONAL/HUF SPAIN + HUF PORTUGAL)  </w:t>
        <w:br/>
        <w:t xml:space="preserve">COUNCIL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 xml:space="preserve">In Madrid, on July 14, 2010.  </w:t>
        <w:br/>
        <w:t xml:space="preserve">Having reviewed the file processed in accordance with Law 15/2007, of July 3, on the Defense of Competition, regarding the acquisition by HUF INTERNATIONAL of exclusive control over HUF ESPAÑA and HUF PORTUGUESA through two purchase agreements (File C/0249/10), and agreeing with the report and proposal submitted by the Directorate of Investigation, the Council of the National Competition Commission has resolved, in application of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C/0249/10 HUF INTERNATIONAL / HUF SPAIN + HUF PORTUGAL  </w:t>
        <w:br/>
        <w:t xml:space="preserve">I. BACKGROUND  </w:t>
        <w:br/>
        <w:t xml:space="preserve">(1) On June 29, 2010, a notification was received by the National Competition Commission (CNC) regarding an economic concentration operation consisting of the acquisition by Huf International of exclusive control over Huf Spain and Huf Portugal, through two purchase agreements.  </w:t>
        <w:br/>
        <w:t xml:space="preserve">(2) The deadline to decide to initiate the second phase of the procedure is July 29, 2010. After this date, the notified operation will be considered tacitly authorized.  </w:t>
        <w:br/>
        <w:t xml:space="preserve">II. APPLICABILITY OF LAW 15/2007 ON THE DEFENSE OF COMPETITION  </w:t>
        <w:br/>
        <w:t xml:space="preserve">(3) The operation consists of the acquisition by Huf International GMBH (HUF INTERNATIONAL) of exclusive control over Huf España, S.A. (HUF ESPAÑA) and Huf Portuguesa Fábrica de Componentes para Automóvel Lda. (HUF PORTUGUESA), companies over which HUF INTERNATIONAL previously had joint control with the seller, the Ficosa Group.  </w:t>
        <w:br/>
        <w:t xml:space="preserve">(4) The operation is an economic concentration in accordance with the provisions of Article 7.1 b) of Law 15/2007, of July 3, on the Defense of Competition (LDC).  </w:t>
        <w:br/>
        <w:t xml:space="preserve">(5) The operation does not have a community dimension, as it does not reach the thresholds established in paragraphs 2 and 3 of Article 1 of Council Regulation (EC) No. 139/2004 of January 20, on the control of concentrations between companies.  </w:t>
        <w:br/>
        <w:t xml:space="preserve">(6) The notified concentration operation meets the requirements set forth by the LDC for its mandatory notification as it exceeds the thresholds established in Article 8.1.a) of said Law, and meets the requirements set forth in Article 56.1.c) LDC for the submission of a short form, given that the operation involves a shift from joint control to exclusive control.  </w:t>
        <w:br/>
        <w:t xml:space="preserve">III. PARTICIPATING COMPANIES  </w:t>
        <w:br/>
        <w:t xml:space="preserve">III.1 “HUF INTERNATIONAL GMBH” (HUF INTERNATIONAL)  </w:t>
        <w:br/>
        <w:t>(7) Huf International is a company belonging to the Huf group, specialized in the supply of parts or components for the automotive industry. In particular, it produces and distributes mechanical and electronic locking systems, closures for glove compartments and trunks, handles for trunks, and electronic ignition buttons for vehicles.</w:t>
      </w:r>
    </w:p>
    <w:p>
      <w:r>
        <w:t xml:space="preserve">DIRECTORATE OF INVESTIGATION  </w:t>
        <w:br/>
        <w:t xml:space="preserve">III.2 “HUF ESPAÑA, S.A.” (HUF ESPAÑA) AND HUF PORTUGUESA (HUF PORTUGUESA)  </w:t>
        <w:br/>
        <w:t xml:space="preserve">(8) Huf España has as its sole activity the supply of certain components for the automotive industry, in particular, sets of locks (key, closure, and cylinder) and exterior handles for vehicle doors. Marginally, it also produces anti-theft rods, handles for trunks, and window supports.  </w:t>
        <w:br/>
        <w:t xml:space="preserve">(9) The main customers of Huf España are OEMs (original equipment manufacturers).  </w:t>
        <w:br/>
        <w:t xml:space="preserve">(10) Huf España is a company that is currently under joint control of Huf International (50% of the share capital) and the Ficosa Group (the other 50%).  </w:t>
        <w:br/>
        <w:t xml:space="preserve">(11) Furthermore, Huf España holds 98.14% of the share capital of Huf Portuguesa, with the remainder of the capital belonging to the Ficosa Group. Huf Portuguesa carries out the same activities as HUF ESPAÑA.  </w:t>
        <w:br/>
        <w:t xml:space="preserve">IV. ASSESSMENT  </w:t>
        <w:br/>
        <w:t xml:space="preserve">(12) This Directorate of Investigation considers that the notified concentration operation does not pose a threat to effective competition, as although the resulting entity maintains a position as a leader in the affected markets of locks and exterior handles, both at the European and national levels, the notified operation does not entail an alteration of the supply structure of these markets, given that Huf already had joint control of the acquired entity, now moving to exclusive control.  </w:t>
        <w:br/>
        <w:t xml:space="preserve">(13) Furthermore, there is significant compensatory power on the demand side, as it is constituted by large multinational companies in the automotive sector, which usually use several suppliers simultaneously.  </w:t>
        <w:br/>
        <w:t xml:space="preserve">V.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