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https://www.cnmc.es/expedientes/c025110</w:t>
      </w:r>
    </w:p>
    <w:p>
      <w:r>
        <w:t>Pages translated : 11</w:t>
      </w:r>
    </w:p>
    <w:p/>
    <w:p>
      <w:r>
        <w:rPr>
          <w:b/>
        </w:rPr>
        <w:t>[Pages 1–3]</w:t>
      </w:r>
    </w:p>
    <w:p>
      <w:r>
        <w:t xml:space="preserve">NATIONAL COMPETITION  </w:t>
        <w:br/>
        <w:t xml:space="preserve">COMMISSION  </w:t>
        <w:br/>
        <w:t xml:space="preserve">RESOLUTION (File C-0251/10, BANCO SABADELL/BANCO GUIPUZCOANO)  </w:t>
        <w:br/>
        <w:t xml:space="preserve">BOARD  </w:t>
        <w:br/>
        <w:t xml:space="preserve">Mr. Luis Berenguer Fuster, President  </w:t>
        <w:br/>
        <w:t xml:space="preserve">Ms. Pilar Sánchez Núñez, Vice President  </w:t>
        <w:br/>
        <w:t xml:space="preserve">Mr. Julio Costas Comesaña, Board Member  </w:t>
        <w:br/>
        <w:t xml:space="preserve">Ms. Mª Jesús González López, Board Member  </w:t>
        <w:br/>
        <w:t xml:space="preserve">Ms. Inmaculada Gutiérrez Carrizo, Board Member  </w:t>
        <w:br/>
        <w:t xml:space="preserve">In Madrid, on September 6, 2010.  </w:t>
        <w:br/>
        <w:t xml:space="preserve">Having reviewed the file processed in accordance with Law 15/2007, of July 3, on the Defense of Competition, regarding the public takeover bid (OPA) launched by BANCO DE SABADELL S.A. for all the shares of BANCO GUIPUZCOANO, S.A. (File C/0251/10), and agreeing with the report and proposal submitted by the Investigation Directorate, the Board of the National Competition Commission has resolved, pursuant to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PROPOSAL FOR RESOLUTION  </w:t>
        <w:br/>
        <w:t xml:space="preserve">FILE C-0251/10 GRUPO BANCO SABADELL / BANCO GUIPUZCOANO  </w:t>
        <w:br/>
        <w:t xml:space="preserve">I. BACKGROUND  </w:t>
        <w:br/>
        <w:t xml:space="preserve">(1) On July 23, 2010, a notification was submitted to the National Competition Commission (CNC) regarding the public takeover bid (OPA) launched by BANCO DE SABADELL, S.A. for all the shares of BANCO GUIPUZCOANO, S.A.  </w:t>
        <w:br/>
        <w:t xml:space="preserve">(2) This notification was made by BANCO DE SABADELL, S.A. (hereinafter BANCO SABADELL), in accordance with Article 9 of Law 15/2007, of July 3, on the Defense of Competition, for exceeding the threshold established in Article 8.1 b). This operation is subject to the provisions of Royal Decree 261/2008, of February 22, which approves the Regulation on the Defense of Competition.  </w:t>
        <w:br/>
        <w:t xml:space="preserve">(3) On July 27, 2010, this Investigation Directorate requested the report provided for in Article 17.2.c) of Law 15/2007, of July 3, on the Defense of Competition (hereinafter LDC), in relation to the reference file. This report was received by the CNC on August 3, 2010.  </w:t>
        <w:br/>
        <w:t xml:space="preserve">(4) On August 9, 2010, this General Directorate requested the notifier for necessary information, in accordance with the provisions of Articles 37.2 b) and 55.5 of the LDC. This information was received by the National Competition Commission on August 16, 2010.  </w:t>
        <w:br/>
        <w:t xml:space="preserve">(5) Article 57.2.c) of Law 15/2007 establishes that the Board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w:t>
        <w:br/>
        <w:t xml:space="preserve">(6)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w:t>
        <w:br/>
        <w:t xml:space="preserve">(7) In accordance with the above, the deadline to agree to initiate the second phase of the procedure is September 6, 2010, inclusive. After this date, the notified operation will be considered tacitly authorized.  </w:t>
        <w:br/>
        <w:t xml:space="preserve">II. NATURE OF THE OPERATION  </w:t>
        <w:br/>
        <w:t xml:space="preserve">(8) The notified concentration operation consists of the exclusive control by BANCO SABADELL, S.A. of BANCO GUIPUZCOANO, through a takeover bid made by the former for all the shares of the latter.  </w:t>
        <w:br/>
        <w:t xml:space="preserve">(9) On June 25, 2010, the Board of Directors of Banco de Sabadell approved the aforementioned OPA; it was submitted to the National Securities Market Commission (CNMV) on July 2, 2010, and accepted for processing by that Commission on July 15, 2010.  </w:t>
        <w:br/>
        <w:t xml:space="preserve">(10) The effectiveness of the OPA is subject to various conditions, including its approval by the respective General Shareholders' Meetings of the two participating companies, which will take place on September 18, 2010, in both cases.  </w:t>
        <w:br/>
        <w:t xml:space="preserve">(11) According to the integration plan included in the prospectus of the OPA pending authorization by the CNMV, the legal entity BANCO GUIPUZCOANO, S.A. will be maintained, which will have its own governing bodies; likewise, this plan provides for the maintenance of the acquired entity's office network in the Basque Community, retaining the Guipuzcoano brand, although the networks of both entities will be merged in the remaining territory.  </w:t>
        <w:br/>
        <w:t xml:space="preserve">(12) Notwithstanding the above, after the operation, BANCO GUIPUZCOANO, S.A. will be integrated into the BANCO SABADELL Group, remaining under its exclusive control.  </w:t>
        <w:br/>
        <w:t xml:space="preserve">III. APPLICABILITY OF LAW 15/2007 ON THE DEFENSE OF COMPETITION  </w:t>
        <w:br/>
        <w:t xml:space="preserve">(13) The notified operation is an economic concentration in the sense of Article 7.1 b) of the LDC.  </w:t>
        <w:br/>
        <w:t xml:space="preserve">(14) The operation is not of community dimension, as the requirements set out in Article 1 of Council Regulation No. 139/2004, of January 20, 2004, on the control of concentrations between companies are not met.  </w:t>
        <w:br/>
        <w:t xml:space="preserve">(15) The notified operation meets the requirements set forth by the LDC as it exceeds the threshold established in Article 8.1 b) thereof.  </w:t>
        <w:br/>
        <w:t xml:space="preserve">IV. PARTICIPATING COMPANIES  </w:t>
        <w:br/>
        <w:t xml:space="preserve">IV.1. BANCO DE SABADELL, S.A. (BANCO SABADELL)  </w:t>
        <w:br/>
        <w:t xml:space="preserve">(16) BANCO SABADELL is a credit institution at the head of the group of the same name, which is primarily active in the financial intermediation sector and, more specifically, in the provision of retail banking services, advisory and asset management, private banking services, and other investment banking products.  </w:t>
        <w:br/>
        <w:t>(17) BANCO SABADELL is listed on the stock exchanges of Barcelona, Madrid, and Valencia and is not under the control of any natural or legal person.</w:t>
      </w:r>
    </w:p>
    <w:p>
      <w:r>
        <w:rPr>
          <w:b/>
        </w:rPr>
        <w:t>[Pages 4–6]</w:t>
      </w:r>
    </w:p>
    <w:p>
      <w:r>
        <w:t xml:space="preserve">INVESTIGATION DIRECTORATE  </w:t>
        <w:br/>
        <w:t xml:space="preserve">(18) The acquiring group has a network of 1,182 offices in Spain operating under the brands Sabadell Atlántico, Sabadell Banca Privada, Banco Herrero, Solbank, Activobank, and Banco Urquijo.  </w:t>
        <w:br/>
        <w:t xml:space="preserve">(19) In addition to its main activity, the BANCO SABADELL Group operates in the sectors of insurance (life and non-life products), pension plans, real estate services, and land management.  </w:t>
        <w:br/>
        <w:t xml:space="preserve">(20) The turnover of the BANCO SABADELL Group in the last financial year, in accordance with Article 5 of Royal Decree 261/2008, was, according to the notifier, as follows:  </w:t>
        <w:br/>
        <w:t xml:space="preserve">TURNOVER OF THE BANCO SABADELL GROUP – 2009  </w:t>
        <w:br/>
        <w:t xml:space="preserve">(million euros)  </w:t>
        <w:br/>
        <w:t xml:space="preserve">WORLDWIDE EU SPAIN  </w:t>
        <w:br/>
        <w:t xml:space="preserve">[&gt;2,500]1 [&gt;250] [&gt;60]  </w:t>
        <w:br/>
        <w:t xml:space="preserve">Source: Notification  </w:t>
        <w:br/>
        <w:t xml:space="preserve">IV.2. BANCO GUIPUZCOANO, S. A. (BANCO GUIPUZCOANO)  </w:t>
        <w:br/>
        <w:t xml:space="preserve">(21) BANCO GUIPUZCOANO is a credit institution, the parent company of the group of companies of the same name, which focuses its activity on providing banking services, primarily retail banking services; additionally, it provides, on a marginal basis, asset management services and pension plans, as well as real estate services and land management2.  </w:t>
        <w:br/>
        <w:t xml:space="preserve">(22) BANCO GUIPUZCOANO is listed on the stock exchanges of Barcelona, Bilbao, and Madrid and is not under the control of any natural or legal person.  </w:t>
        <w:br/>
        <w:t xml:space="preserve">(23) The acquired group has a network of 245 offices, of which 96 are located in the Basque Country.  </w:t>
        <w:br/>
        <w:t xml:space="preserve">(24) The turnover of the BANCO GUIPUZCOANO Group in the last financial year, in accordance with Article 5 of Royal Decree 261/2008, was, according to the notifier, as follows:  </w:t>
        <w:br/>
        <w:t xml:space="preserve">TURNOVER OF THE BANCO GUIPUZCOANO GROUP – 2009  </w:t>
        <w:br/>
        <w:t xml:space="preserve">(million euros)  </w:t>
        <w:br/>
        <w:t xml:space="preserve">WORLDWIDE EU SPAIN  </w:t>
        <w:br/>
        <w:t xml:space="preserve">[&lt;2,500] [&gt;250] [&gt;60]  </w:t>
        <w:br/>
        <w:t xml:space="preserve">Source: Notification  </w:t>
        <w:br/>
        <w:t xml:space="preserve">1 Parts of the report whose exact content has been declared confidential are inserted in brackets.  </w:t>
        <w:br/>
        <w:t>2 In the insurance sector, the activity of the Banco Guipuzcoano Group is limited to the distribution of third-party products through its network of offices.</w:t>
      </w:r>
    </w:p>
    <w:p>
      <w:r>
        <w:t xml:space="preserve">INVESTIGATION DIRECTORATE  </w:t>
        <w:br/>
        <w:t xml:space="preserve">V. MARKETS AFFECTED BY THE OPERATION  </w:t>
        <w:br/>
        <w:t xml:space="preserve">V.1. Product Market  </w:t>
        <w:br/>
        <w:t xml:space="preserve">(25) Considering the activity of the participating companies, the economic sectors affected by the notified operation are the banking sector and the management of pension plans and funds3.  </w:t>
        <w:br/>
        <w:t xml:space="preserve">(26) Within banking services, existing national4 and community5 precedents have traditionally distinguished the following three segments:  </w:t>
        <w:br/>
        <w:t xml:space="preserve">(27) Retail Banking: retail banking services are aimed at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deposit-taking, granting loans and credits, operations related to credit and debit cards, and the marketing of off-balance-sheet resources, such as investment funds, pension funds, and insurance.  </w:t>
        <w:br/>
        <w:t xml:space="preserve">(28) Both BANCO SABADELL and BANCO GUIPUZCOANO dedicate their main business to retail banking services.  </w:t>
        <w:br/>
        <w:t xml:space="preserve">(29) Corporate Banking: this segment includes banking services to large companies and public bodies and institutions. Its activity takes place in large financial centers, in few highly specialized operational units with highly qualified personnel. It includes different products such as deposits, short and long-term loans, guarantee credits, commercial paper management, foreign trade financing, swaps, leasing, and factoring. According to the notifier's information, BANCO GUIPUZCOANO does not provide corporate banking services, so this market will not be analyzed in the present case.  </w:t>
        <w:br/>
        <w:t xml:space="preserve">(30) Investment Banking and Operations in Monetary Markets: includes advisory services on the issuance of instruments - such as shares and other securities, admission to listing on organized markets, mergers and acquisitions, or privatizations - operations in financial markets - such as acquisition and sale of securities in primary and secondary markets, derivatives operations, foreign exchange market operations, and other monetary markets - as well as private banking services (personalized advice to clients with large estates).  </w:t>
        <w:br/>
        <w:t xml:space="preserve">(31) Both BANCO SABADELL and BANCO GUIPUZCOANO provide investment banking services and operations in monetary markets, with both being present in the private banking segment.  </w:t>
        <w:br/>
        <w:t xml:space="preserve">(32) Regarding the market for the management of pension plans and funds, existing precedents6 have established that they constitute a differentiated activity from life insurance, even though they cover similar risks (such as obtaining financial compensation at the time of retirement7).  </w:t>
        <w:br/>
        <w:t xml:space="preserve">(33) Pension plans are savings products that complement the general coverage of Social Security. Unlike life insurance products, in pension plans, the possibility of recovering accumulated savings before retirement is very limited. Finally, it should be noted that, in general, pension plans benefit from tax advantages that do not apply to life insurance8.  </w:t>
        <w:br/>
        <w:t xml:space="preserve">(34) The consolidated text of the Law regulating pension plans and funds, approved by Royal Legislative Decree 1/2002, of November 29, establishes that their management will be reserved for pension fund management entities.  </w:t>
        <w:br/>
        <w:t xml:space="preserve">V.2. Geographic Market  </w:t>
        <w:br/>
        <w:t xml:space="preserve">(35) In the case of retail banking, both the CNC and the European Commission have considered in their most recent precedents that, for banking aimed at small savers and SMEs, the market is of a national nature, due to the fact that competitive conditions in member states are significantly different, as a result, among other factors, of language differences, consumer preferences for local providers, different business cultures, and the importance that the branch network still holds in that banking segment. It is also noted that there is likely to be a gradual decrease in these differences, as a result of the expansion of alternative distribution channels enabled by new technologies, especially in the areas of telephone and Internet banking.  </w:t>
        <w:br/>
        <w:t xml:space="preserve">(36) The retail banking activities of BANCO DE SABADELL are primarily concentrated in the Autonomous Community of Catalonia, its territory of origin;  </w:t>
        <w:br/>
        <w:t xml:space="preserve">6 See the reports of this Investigation Directorate in files C-0227-10 GRUPO BANCA CIVICA; C-0128-08 CAJASOL/CASER and C-0050-08 LA CAIXA/MORGAN STANLEY.  </w:t>
        <w:br/>
        <w:t xml:space="preserve">7 CNC Resolution in file C-0050-08 La Caixa/Morgan Stanley.  </w:t>
        <w:br/>
        <w:t>8 CNC Resolution in file C-0128/08 Cajasol/Caser.</w:t>
      </w:r>
    </w:p>
    <w:p>
      <w:r>
        <w:rPr>
          <w:b/>
        </w:rPr>
        <w:t>[Pages 7–9]</w:t>
      </w:r>
    </w:p>
    <w:p>
      <w:r>
        <w:t xml:space="preserve">INVESTIGATION DIRECTORATE  </w:t>
        <w:br/>
        <w:t xml:space="preserve">for its part, BANCO GUIPUZCOANO has its natural territory in the Basque Country.  </w:t>
        <w:br/>
        <w:t xml:space="preserve">(37) In light of the above, the impact of the operation will be analyzed at the national level and in the Communities of Catalonia and the Basque Country; furthermore, considering that the participants also have a presence and carry out retail banking activities in geographical areas different from their territory of origin, this analysis will extend to those provinces where the operation has the greatest impact, despite the fact that, for the reasons already stated, this Investigation Directorate considers that, currently, the retail banking market is not of local dimension but national.  </w:t>
        <w:br/>
        <w:t xml:space="preserve">(38) Regarding investment banking, the cited precedents consider it to be of supranational scope, potentially global in the case of monetary market activities, and national for certain operations. However, in some national precedents, it was considered that certain segments of investment banking products may have a national reach, particularly for small and medium-sized enterprises.  </w:t>
        <w:br/>
        <w:t xml:space="preserve">(39) The market for the management of pension plans and funds is considered in the cited community and national precedents to be of national dimension due, among other reasons, to the different structures of national markets, the need for adequate distribution channels, tax limitations, and, in summary, the different regulations of each country, to which foreign entities must adapt.  </w:t>
        <w:br/>
        <w:t xml:space="preserve">VI. MARKET ANALYSIS  </w:t>
        <w:br/>
        <w:t xml:space="preserve">VI.1. Structure of the supply  </w:t>
        <w:br/>
        <w:t xml:space="preserve">(40) In the retail banking market, the BDE has considered in various reports issued regarding these banking services that deposits and loans are the most representative products of the competitiveness of credit and savings entities, with the issuance of cards, as well as the number of offices, ATMs, or other distribution channels, being parameters directly related to the above and, therefore, secondary.  </w:t>
        <w:br/>
        <w:t xml:space="preserve">(41) According to these criteria and based on the information provided by the notifiers for the national retail banking services market (substantially consistent with the data contained in the BDE report of July 30, 2010), the joint market share of the parties in 2009 would be [0-10%].  </w:t>
        <w:br/>
        <w:t xml:space="preserve">9 According to the report from the Bank of Spain, as of December 31, 2009, BANCO DE SABADELL had 397 offices in Catalonia and 779 in the rest of Spain (of which 22 are located in the Basque Country), representing a concentration in the Catalan Community of 66% of its total offices in national territory. For its part, BANCO GUIPUZCOANO had 96 offices in the Basque Country and 149 in the rest of Spain (of which 24 are located in Catalonia), which means a concentration in the Basque Community of 61% of its total national aggregate.  </w:t>
        <w:br/>
        <w:t xml:space="preserve">10 Resolution of the defunct TDC in case N-06053 Banco Sabadell/Banco Urquijo and Report of the CNC in file C-0050-08 La Caixa/Morgan Stanley.  </w:t>
        <w:br/>
        <w:t>6</w:t>
      </w:r>
    </w:p>
    <w:p>
      <w:r>
        <w:t xml:space="preserve">INVESTIGATION DIRECTORATE  </w:t>
        <w:br/>
        <w:t xml:space="preserve">for loans (with a [0-10%] acquired from BANCO GUIPUZCOANO) and [0-10%] for deposits ([0-10%] of the acquired); these shares will not significantly alter the distance (around [0-10%] percentage points) of the resulting entity compared to the leading operator in this market.  </w:t>
        <w:br/>
        <w:t xml:space="preserve">(42) In the autonomous communities of Catalonia and the Basque Country, the territories of origin of BANCO SABADELL and BANCO GUIPUZCOANO respectively, the information issued by the BDE shows for the last financial year joint shares in retail banking services in Catalonia of [0-10%] for loans ([0-10%] for deposits) and in the Basque Country, [0-10%] for loans ([0-10%] for deposits). The position of the resulting entity in these Autonomous Communities would continue to lag behind the currently leading banking entities in those territories (in Catalonia, the Savings and Pension Fund of Barcelona, with a share of [30-40%] for deposits and [20-30%] for loans, and in the Basque Country, BBK, with a [20-30%] share for deposits and [10-20%] for loans).  </w:t>
        <w:br/>
        <w:t xml:space="preserve">(43) In a narrower territorial scope, the activity of the participants in retail banking services overlaps, according to information from the notifier, in 31 provinces, exceeding a joint share of [10-20%] only in Asturias ([10-20%] for deposits and [10-20%] for loans). In the rest of these provinces, the combined share of the parties would not reach [0-10%] in any case, with the provinces having the highest resulting share being: Guipuzcoa ([0-10%] for loans and [0-10%] for deposits); Vizcaya ([0-10%] for loans and [0-10%] for deposits); Málaga ([0-10%] for loans and [0-10%] for deposits); Barcelona ([0-10%] for loans and [0-10%] for deposits) and Castellón ([0-10%] for loans and [0-10%] for deposits). In all the mentioned provinces, there is minimal aggregation of share (less than [0-10%] percentage points), except in the two Basque provinces, where the share acquired from BANCO GUIPUZCOANO is [0-10%] for loans and [0-10%] for deposits in Guipúzcoa and [0-10%] for loans and [0-10%] for deposits in Vizcaya.  </w:t>
        <w:br/>
        <w:t xml:space="preserve">(44) Regarding the investment banking market and operations in monetary markets, the share of BANCO SABADELL would be, according to the best estimates of the notifier, less than [0-10%] in the last financial year. The activity of BANCO GUIPUZCOANO in this type of services is marginal, with a participation of less than [0-10%] in 2009.  </w:t>
        <w:br/>
        <w:t xml:space="preserve">(45) In the private banking segment, the joint share of the participants in 2009, estimated based on managed assets, was [0-10%] ([0-10%] from BANCO SABADELL and [0-10%] from BANCO GUIPUZCOANO). The main operators in this segment, according to information from the notifier, are: Banco de Santander (Banif and Santander Private Banking) and BBVA Patrimonios, with respective shares of [10-20%] and [0-10%] in the last financial year.  </w:t>
        <w:br/>
        <w:t xml:space="preserve">11 According to information from the BDE, the national share of the leading operator in retail banking services is [10-20%] for loans and [10-20%] for deposits.  </w:t>
        <w:br/>
        <w:t>7</w:t>
      </w:r>
    </w:p>
    <w:p>
      <w:r>
        <w:t xml:space="preserve">INVESTIGATION DIRECTORATE  </w:t>
        <w:br/>
        <w:t xml:space="preserve">(46) In the market for the management of pension plans and funds, the joint share of BANCO SABADELL and BANCO GUIPUZCOANO, estimated by managed assets in 2009, was [0-10%] (with a [0-10%] of the acquired). The main operators in this market, according to information from the notifier, are: BBVA ([10-20%] share in 2009); Banco de Santander ([10-20%]) and Banco Popular ([0-10%]).  </w:t>
        <w:br/>
        <w:t xml:space="preserve">VI.2. Structure of demand and distribution channels  </w:t>
        <w:br/>
        <w:t xml:space="preserve">(47) According to the information from the notifier, customer preferences in the banking sector lean towards choosing a bank as the main provider; the Spanish banking sector is a highly competitive market in which there is a high possibility of switching between financial providers, with brand relevance and the distribution capacity deployed being important competitive factors.  </w:t>
        <w:br/>
        <w:t xml:space="preserve">(48) Each demand subject in the Spanish banking market has, according to data from the notifier, an average of […] financial providers per individual and […] per legal entity. These values increase with the level of income and billing volume in each case. These variables act as strategic segmentation axes and define the way financial entities relate to their clients. Thus, private banking and corporate banking models emerge, with more personalized management and greater complexity in product and price offerings.  </w:t>
        <w:br/>
        <w:t xml:space="preserve">(49) Regarding distribution channels for retail banking, the main ones are networks of bank branches; the growing implementation of electronic banking (Internet and telephone banking) is contributing to the creation of alternative channels. Both BANCO SABADELL and BANCO GUIPUZCOANO use a multichannel network for the distribution of their products.  </w:t>
        <w:br/>
        <w:t xml:space="preserve">VI.3. Barriers to entry and potential competition  </w:t>
        <w:br/>
        <w:t xml:space="preserve">(50) The liberalization of the Spanish financial system, as a result of European harmonization, has led to the elimination of a large part of the barriers to entry in the banking sector. All operators have access to the necessary technology and price information is complete and available to consumers and entities, which implies greater transparency in the sector.  </w:t>
        <w:br/>
        <w:t xml:space="preserve">(51) The notifiers consider that potential competition in the sector is largely given by the capacity to expand distribution channels, either by increasing the network of offices close to the traditional customer or by developing alternative channels (online banking, telephone banking, and others). Thus, in recent years, there has been an entry into the Spanish market.  </w:t>
        <w:br/>
        <w:t xml:space="preserve">12 Source cited in the notification: FRS Inmark, year 2009.  </w:t>
        <w:br/>
        <w:t>8</w:t>
      </w:r>
    </w:p>
    <w:p>
      <w:r>
        <w:rPr>
          <w:b/>
        </w:rPr>
        <w:t>[Pages 10–11]</w:t>
      </w:r>
    </w:p>
    <w:p>
      <w:r>
        <w:t xml:space="preserve">INVESTIGATION DIRECTORATE  </w:t>
        <w:br/>
        <w:t>of competitors that operate solely or primarily through the Internet, such as ING Direct, Patagon, Uno-e, e-Popular, or ActivoBank.</w:t>
      </w:r>
    </w:p>
    <w:p>
      <w:r>
        <w:t xml:space="preserve">VII. ASSESSMENT  </w:t>
        <w:br/>
        <w:t xml:space="preserve">(52) The notified operation consists of the acquisition by BANCO DE SABADELL of exclusive control of the BANCO GUIPUZCOANO Group, through a public takeover bid (OPA) formulated for all its shares.  </w:t>
        <w:br/>
        <w:t xml:space="preserve">(53) The effects of the operation focus on the banking sector and, especially, on the markets for retail banking services, investment banking, and the management of pension plans and funds.  </w:t>
        <w:br/>
        <w:t xml:space="preserve">(54) In retail banking services, it is not expected that the operation will significantly alter the competitive structure of the market in the relevant geographical area, the entirety of the national territory, where the combined share of the participants will not exceed [0-10%] (in credit estimation), with minimal aggregation of the acquired part (&lt; [0-10%]).  </w:t>
        <w:br/>
        <w:t xml:space="preserve">(55) Furthermore, taking into account the natural territories of the participating entities, this Investigation Directorate has analyzed the effects of the concentration in retail banking services in the Autonomous Communities of Catalonia and the Basque Country, concluding that no competition problems are expected in either; in the Basque Country, a joint deposit share of [0-10%] will result, while in Catalonia, the share of the new entity is more significant ([0-10%] in credits), although there are other operators in both Autonomous Communities with higher shares.  </w:t>
        <w:br/>
        <w:t xml:space="preserve">(56) In the most restrictive scenario where each province is considered individually, the notified concentration will also not pose an obstacle to effective competition in retail banking services, as the combined shares of the participants do not exceed [0-10%] in any case (with the exception of Asturias, with a joint deposit share of [10-20%]), with the acquired shares being below [0-10%] in the provinces with the highest resulting share, except for Guipuzcoa and Biscay, where the participation of BANCO GUIPUZCOANO is more relevant (at [0-10%] and [0-10%] in deposits, respectively).  </w:t>
        <w:br/>
        <w:t xml:space="preserve">(57) In the general investment banking market, the share that the resulting entity will have is low (around [0-10%]), with a minimal aggregated share (below [0-10%]) of BANCO GUIPUZCOANO. In the private banking segment, the resulting share also reaches a very small percentage relative to the national total ([0-10%] in 2009), with a minimal acquisition of share ([0-10%]).  </w:t>
        <w:br/>
        <w:t>(58) Finally, in the management services for pension plans and funds, the joint share of the parties is [0-10%] ([0-10%] of the acquired) of the Spanish market.</w:t>
      </w:r>
    </w:p>
    <w:p>
      <w:r>
        <w:t xml:space="preserve">(59) In conclusion, it is not expected that the operation will alter the competitive structure in any of the considered markets, as the shares of the resulting entity are very moderate in any of the possible scenarios and there are other operators with significant size, larger than that of the resulting entity.  </w:t>
        <w:br/>
        <w:t>(60) For its part, the BDE considers that the economic situation incorporates strong pressure for integration processes in the Spanish financial sector and concludes, regarding the notified operation, that the concentration will not hinder the maintenance of effective competition in the markets.</w:t>
      </w:r>
    </w:p>
    <w:p>
      <w: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