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https://www.cnmc.es/expedientes/c025210</w:t>
      </w:r>
    </w:p>
    <w:p>
      <w:r>
        <w:t>Pages translated : 3</w:t>
      </w:r>
    </w:p>
    <w:p/>
    <w:p>
      <w:r>
        <w:rPr>
          <w:b/>
        </w:rPr>
        <w:t>[Pages 1–3]</w:t>
      </w:r>
    </w:p>
    <w:p>
      <w:r>
        <w:t xml:space="preserve">NATIONAL COMPETITION  </w:t>
        <w:br/>
        <w:t xml:space="preserve">COMMISSION  </w:t>
        <w:br/>
        <w:t xml:space="preserve">RESOLUTION (File C-0252/10, MAGNUM CAPITAL/TEKNON)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July 14, 2010.  </w:t>
        <w:br/>
        <w:t xml:space="preserve">Having reviewed the file processed in accordance with Law 15/2007, of July 3, on the Defense of Competition, regarding the acquisition of exclusive control of TEKNON HEALTHCARE S.L., the managing company of the TEKNON medical center, by the venture capital fund MAGNUM CAPITAL L.P., through the company PALACE HEALTHCARE S.L.U. (File C/0252/10),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C/0252/10 MAGNUM CAPITAL/TEKNON  </w:t>
        <w:br/>
        <w:t xml:space="preserve">I. BACKGROUND  </w:t>
        <w:br/>
        <w:t xml:space="preserve">(1) On July 2, 2010, the National Competition Commission (CNC) received a notification regarding the acquisition of exclusive control of TEKNON HEALTHCARE, S.L., the managing company of the TEKNON medical center, by the venture capital fund MAGNUM CAPITAL L.P. through the company PALACE HEALTHCARE S.L.U.  </w:t>
        <w:br/>
        <w:t xml:space="preserve">(2) The deadline to decide to initiate the second phase of the procedure is August 2, 2010, inclusive. After this date, the notified operation will be considered tacitly authorized.  </w:t>
        <w:br/>
        <w:t xml:space="preserve">II. APPLICABILITY OF LAW 15/2007 ON THE DEFENSE OF COMPETITION  </w:t>
        <w:br/>
        <w:t xml:space="preserve">(3) The notified operation is an economic concentration in the sense of Article 7.1 b) of Law 15/2007, of July 3, on the Defense of Competition.  </w:t>
        <w:br/>
        <w:t xml:space="preserve">(4) The operation is not of community dimension, as it does not reach the thresholds established in paragraphs 2 and 3 of Article 1 of Council Regulation (EC) No. 139/2004 of January 20, 2004, on the control of concentrations between companies.  </w:t>
        <w:br/>
        <w:t xml:space="preserve">(5) The notified operation meets the requirements set forth by Law 15/2007 as it exceeds the threshold established in Article 8.1 b) of the same and complies with the requirements set forth in Article 56.1 a) of Law 15/2007.  </w:t>
        <w:br/>
        <w:t xml:space="preserve">III. PARTICIPATING COMPANIES  </w:t>
        <w:br/>
        <w:t xml:space="preserve">(6) MAGNUM CAPITAL L.P. (MAGNUM CAPITAL) is a venture capital fund managed by MAGNUM CAPITAL MANAGEMENT GP, which is owned by a trust over which no third party has control. MAGNUM CAPITAL focuses its investment strategy on companies active in industrial and service sectors in Spain and Portugal, currently not holding any controlling interest in companies active in the markets in which the acquired company operates or in other vertically related markets.  </w:t>
        <w:br/>
        <w:t xml:space="preserve">(7) TEKNON HEALTHCARE, S.L. (TEKNON) is a Spanish company that manages the TEKNON MEDICAL CENTER, a private hospital located in Barcelona, which is registered in the National Hospital Catalog as a general hospital, with authorization for 255 beds. TEKNON does not manage any other hospital, polyclinic, or diagnostic center.  </w:t>
        <w:br/>
        <w:t xml:space="preserve">IV. ASSESSMENT  </w:t>
        <w:br/>
        <w:t xml:space="preserve">(8) This Directorate of Investigation considers that the present concentration does not pose a threat to effective competition in the markets, as there are no horizontal or vertical overlaps between the activities of the parties and, therefore, there is no significant modification of the structure of the considered markets or of the conditions of competition therein.  </w:t>
        <w:b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