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https://www.cnmc.es/expedientes/c025410</w:t>
      </w:r>
    </w:p>
    <w:p>
      <w:r>
        <w:t>Pages translated : 1</w:t>
      </w:r>
    </w:p>
    <w:p/>
    <w:p>
      <w:r>
        <w:rPr>
          <w:b/>
        </w:rPr>
        <w:t>[Pages 1–1]</w:t>
      </w:r>
    </w:p>
    <w:p>
      <w:r>
        <w:t>NATIONAL COMPETITION COMMISSION RESOLUTION (Case C-0254/10, SCJ/SARA LEE) COUNCIL Mr. Luis Berenguer Fuster, President Ms. Pilar Sánchez Núñez, Vice President Mr. Julio Costas Comesaña, Council Member Ms. Mª Jesús González López, Council Member Ms. Inmaculada Gutiérrez Carrizo, Council Member In Madrid, on September 15, 2010. Having reviewed the case processed in accordance with Law 15/2007, of July 3, on the Defense of Competition, concerning the acquisition by S.C. Johnson &amp; Son (SCJ) of all elements of the business area for the manufacture, marketing, and distribution of home insect control products from Sara Lee Corporation (Sara Lee) (Case C/0254/10), and in agreement with the report and proposal submitted by the Investigation Directorate, the Council of the National Competition Commission has resolved, in application of the provisions of Article 57.2.d) of Law 15/2007, of July 3, on the Defense of Competition, to file the concentration, as the European Commission has accepted, by Decision of September 7, 2010, its referral.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