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https://www.cnmc.es/expedientes/c025610</w:t>
      </w:r>
    </w:p>
    <w:p>
      <w:r>
        <w:t>Pages translated : 6</w:t>
      </w:r>
    </w:p>
    <w:p/>
    <w:p>
      <w:r>
        <w:rPr>
          <w:b/>
        </w:rPr>
        <w:t>[Pages 1–3]</w:t>
      </w:r>
    </w:p>
    <w:p>
      <w:r>
        <w:t>NATIONAL COMPETITION COMMISSION RESOLUTION (Exp. C-0256/10, CAJASOL/CAJA GUADALAJARA) COUNCIL D. Luis Berenguer Fuster, President Dª Pilar Sánchez Núñez, Vice President D. Julio Costas Comesaña, Councilor Dª Mª Jesús González López, Councilor Dª Inmaculada Gutiérrez Carrizo, Councilor In Madrid, on September 29, 2010. Having reviewed the file processed in accordance with Law 15/2007, of July 3, on the Defense of Competition, regarding the acquisition of exclusive control of the company Caja de Ahorro Provincial de Guadalajara by the company Monte de Piedad y Caja de Ahorros San Fernando de Huelva, Jerez y Sevilla, through the merger by absorption of the former by the latter, (Exp. C/0256/10), and agreeing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PROPOSED RESOLUTION C-0256/10 CAJASOL / CAJA GUADALAJARA I. BACKGROUND (1) On July 20, 2010, a notification was received by the National Competition Commission (CNC) regarding the acquisition of exclusive control of the company Caja de Ahorro Provincial de Guadalajara ("CAJA GUADALAJARA") by the company Monte de Piedad y Caja de Ahorros San Fernando de Huelva, Jerez y Sevilla ("CAJASOL"), through the merger by absorption of the former by the latter. (2) On July 22, 2010, this Directorate of Investigation requested from the Bank of Spain (BDE) the report provided for in Article 17.2.c) of Law 15/2007, of July 3, on the Defense of Competition (hereinafter LDC), in relation to the referenced file. Said report was received by the CNC on September 22, 2010. (3) The deadline to agree to initiate the second phase of the procedure is October 21, 2010, inclusive. After this date, the notified operation will be considered tacitly authorized. II. APPLICABILITY OF LAW 15/2007 ON THE DEFENSE OF COMPETITION (4) The notified operation is an economic concentration in the sense of Article 7.1 a) of the LDC. (5) The operation is not of community dimension, as it does not reach the thresholds established in paragraphs 2 and 3 of Article 1 of Council Regulation (EC) No. 139/2004 of January 20, 2004, on the control of concentrations between companies. (6) The notified operation meets the requirements set forth by the LDC as it exceeds the threshold established in Article 8.1 b) thereof; it also meets the requirements set forth in Article 56.1 b) of the aforementioned regulation. III. PARTICIPATING COMPANIES (7) CAJASOL is a credit institution of a private foundational nature and a charitable-social character with the legal status of a Savings Bank, which carries out all types of credit, deposit, financial operations, and, in general, all activities typical of a Savings Bank. CAJASOL is not under the control of any natural or legal person. (8) CAJASOL had 756 offices in 2009, of which 341 were located in the province of Seville, 145 in Cádiz, 106 in Huelva, and 164 in the rest of Spain. Its banking activity is primarily focused on retail banking services.</w:t>
      </w:r>
    </w:p>
    <w:p>
      <w:r>
        <w:t>DIRECTORATE OF INVESTIGATION retail. Additionally, through its subsidiaries and affiliates, CAJASOL engages in activities in the insurance and life plans sector and other sectors such as food, biotechnology, industrial, real estate, infrastructure, information technology, leisure and culture, and other services. (9) CAJA GUADALAJARA is a credit institution of a private foundational nature and a charitable-social character with the legal status of a Savings Bank, which carries out all types of credit, deposit, financial operations, and, in general, all activities typical of a Savings Bank. CAJA GUADALAJARA is not under the control of any natural or legal person. (10) CAJA GUADALAJARA primarily provides banking services in Spain, focusing on retail banking services, with a network in 2009 of 72 branches, of which 57 are in the province of Guadalajara, 1 in Toledo, and 14 in the Community of Madrid. Additionally, CAJA GUADALAJARA carries out, on a marginal basis, activities in the real estate sector and in insurance brokerage, pension plans, and asset management. IV. PRODUCT AND GEOGRAPHICAL MARKETS (11) The main business of the participating entities in the operation is the provision of banking services. (12) National and community precedents have traditionally distinguished three segments within banking services. (13) Retail banking. Retail banking services are aimed at the market of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 gathering, granting credits and loans, operations related to 1 According to the information provided, the parties also provide real estate services, but on a marginal basis, representing in the case of CAJA GUADALAJARA an irrelevant part of the market that, in any case, would result in a combined share of less than [0-10]% of the national total. The parts of the report whose exact content has been declared confidential are inserted in brackets. 2 CNC Files: C-0251 BANCO SABADELL-BANCO GUIPUZCOANO; C-0224/10 LA CAIXA/CAIXA GIRONA; C-0240/10 CAJA DUERO/CAJA ESPAÑA; C-0238 CAJASTUR/CCM; C-0228/10 CAIXA MANLLEU/CAIXA SABADELL/CAIXA TERRASA; C-0227/10 GRUPO BANCA CIVICA; C-0196/09 CAIXA CATALUNYA / CAIXA TARRAGONA / CAIXA MANRESA, C-0120/08 LLOYDS TSB / HBOS and C-0050/08 LA CAIXA / MORGAN STANLEY; Files from the defunct SDC: N-06098 EL MONTE / CAJA SAN FERNANDO, N-06053 BANCO SABADELL / BANCO URQUIJO and N-03077 BANCO SABADELL / BANCO ATLÁNTICO and Resolutions from the defunct TDC: C61/00 BANCO HERRERO / BANCO SABADELL, C51/00 CAJAS NAVARRAS, C43/99 CAIXA VIGO / CAIXA OURENSE / CAIXA PONTEVEDRA, C47/99 BBV / ARGENTARIA and C39/99 BANCO SANTANDER / BANCO CENTRAL HISPANOAMERICANO. 3 Cases M.4844 FORTIS / ABN AMRO ASSETS, M.3894 UNICREDITO / HVB and M.2225 FORTIS / ASR, among others.</w:t>
      </w:r>
    </w:p>
    <w:p>
      <w:r>
        <w:rPr>
          <w:b/>
        </w:rPr>
        <w:t>[Pages 4–6]</w:t>
      </w:r>
    </w:p>
    <w:p>
      <w:r>
        <w:t>DIRECTORATE OF INVESTIGATION</w:t>
        <w:br/>
        <w:t>credit and debit cards and the marketing of off-balance sheet resources, such as investment funds, pension funds, and insurance.</w:t>
        <w:br/>
        <w:t>(14) The CNC has considered in its most recent precedents that, for banking aimed at small savers and SMEs, the market is national in character, because the competitive conditions in the Member States are significantly different, due to, among other factors, language differences, consumer preferences for local providers, different business cultures, and the importance that the branch network still holds in that banking segment. They also indicate a likely gradual reduction of these differences, as a result of the expansion of alternative distribution channels enabled by new technologies, especially in the areas of telephone and Internet banking.</w:t>
        <w:br/>
        <w:t>(15) The activities of CAJASOL and CAJA GUADALAJARA mainly coincide in the retail banking market.</w:t>
        <w:br/>
        <w:t>(16) As noted by the BDE in its report, the two participating entities concentrate most of their activity in the Autonomous Communities of Andalusia (especially in Seville, Huelva, and Cádiz), in the case of CAJASOL, and Castilla La Mancha (specifically in Guadalajara), in the case of CAJA GUADALAJARA, where 72.1% and 79.2%, respectively, of their total branches are located.</w:t>
        <w:br/>
        <w:t>(17) Taking into account the natural territory of the acquired company, the impact of the operation on the national market and in the narrower scope of the provinces where CAJA GUADALAJARA is present (Guadalajara, Toledo, and Madrid) has been analyzed, despite the fact that, for the reasons stated, this Directorate of Investigation considers that, currently, the retail banking market is not of local dimension but national.</w:t>
        <w:br/>
        <w:t>(18) Corporate banking. This segment encompasses banking services to large companies and public bodies and institutions. Its activity takes place in large financial centers, in few highly specialized operational units, and with highly qualified personnel. It includes different products such as deposits, short and long-term loans, guarantee credits, commercial paper management, foreign trade financing, swaps, leasing, and factoring.</w:t>
        <w:br/>
        <w:t>(19) In this case, the cited precedents consider that the relevant geographical scope is supranational, potentially global in the case of large corporations, although certain services continue to be offered at the national level, particularly for medium and small enterprises.</w:t>
        <w:br/>
        <w:t>(20) Both participants dedicate a marginal part of their business to corporate banking services.</w:t>
        <w:br/>
        <w:t>(21) Investment banking and operations in the money markets. This includes advisory services on the issuance of instruments, operations in financial markets, and private banking services (personalized advice to clients with large assets).</w:t>
        <w:br/>
        <w:t>(22) As in the previous case, the precedents consider this market to be supranational, potentially global in the case of money market activities and national for certain operations.</w:t>
        <w:br/>
        <w:t>(23) According to the information from the notifying party, the parties do not offer private banking services and their joint share in investment banking activities would be below [0-10]%, so this market is not subject to further analysis in the present case.</w:t>
        <w:br/>
        <w:t>V. SHARES OF THE PARTICIPANTS</w:t>
        <w:br/>
        <w:t>(24) Based on the main criteria used by the CNC and the BDE to determine the competitive position of credit institutions (deposits, loans, and number of operational offices) and according to the information provided by the notifiers, the joint share of the parties in the Spanish retail banking market during 2009 would be [0-10]% for loans ([0-10]% of the acquired) and [0-10]% for deposits ([0-10]% of the acquired share).</w:t>
        <w:br/>
        <w:t>(25) On a smaller territorial scale, there will be overlap in the Autonomous Community of Madrid and in the provinces of Guadalajara and Toledo, the only territories where the acquired entity is present, with the resulting entity's share being below [0-10]% in all cases, except in the province of Guadalajara, where the joint share will be [0-10]% for loans ([0-10]% of the acquired) and [20-30]% for deposits ([20-30]% of the acquired).</w:t>
        <w:br/>
        <w:t>(26) In the corporate banking segment, according to the information from the notifier, the joint share of the participants in 2009 is below [0-10]% of the national market.</w:t>
        <w:br/>
        <w:t>VI. ASSESSMENT</w:t>
        <w:br/>
        <w:t>(27) The notified concentration, consisting of the exclusive control of the company Caja de Ahorro Provincial de Guadalajara ("CAJA GUADALAJARA") by the company Monte de Piedad y Caja de Ahorros San Fernando de Huelva, Jerez y Sevilla ("CAJASOL"), will result in a marginal modification of the supply structure in the retail banking services market, the main activity of the participants.</w:t>
        <w:br/>
        <w:t>(28) In these services, the absorption of CAJA GUADALAJARA by CAJASOL will minimally increase the relatively small share that the latter has in the relevant national market, not exceeding [0-10]%.</w:t>
        <w:br/>
        <w:t>(29) Given the special impact of this operation on certain provinces of Castilla La Mancha and Madrid, this Directorate of Investigation has also analyzed its local effects. In particular, at the provincial level, the operation will signify an acquisition of insignificant shares in Madrid and Toledo. In Guadalajara, CAJASOL reinforces its limited presence ([0-10]% of the total provincial), reaching [0-10]% in terms of loans and [20-30]% of deposits, so no competition problems are to be expected, as numerous retail banking service entities compete and no substantial entry barriers have been detected, as confirmed in its report by the BDE.</w:t>
        <w:br/>
        <w:t>(30) Finally, both in the corporate banking segment and in the real estate services sector, where both participants are present, the market share resulting from the operation will be below [0-10]% in all cases.</w:t>
        <w:br/>
        <w:t>VII. PROPOSAL</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