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https://www.cnmc.es/expedientes/c025910</w:t>
      </w:r>
    </w:p>
    <w:p>
      <w:r>
        <w:t>Pages translated : 13</w:t>
      </w:r>
    </w:p>
    <w:p/>
    <w:p>
      <w:r>
        <w:rPr>
          <w:b/>
        </w:rPr>
        <w:t>[Pages 1–3]</w:t>
      </w:r>
    </w:p>
    <w:p>
      <w:r>
        <w:t xml:space="preserve">NATIONAL COMPETITION COMMISSION  </w:t>
        <w:br/>
        <w:t xml:space="preserve">RESOLUTION (File C/0259/10, MARE NOSTRUM)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September 15, 2010.  </w:t>
        <w:br/>
        <w:t xml:space="preserve">Having reviewed the file processed in accordance with Law 15/2007, of July 3, on the Defense of Competition, regarding the integration of CAJA DE AHORROS DE MURCIA, CAIXA D’ESTALVIS DEL PENEDÉS, CAJA GENERAL DE AHORROS DE GRANADA, and CAJA DE AHORROS Y MONTE DE PIEDAD DE LAS BALEARES into a consolidable economic group based on a contractual basis with the classification of Institutional Protection System (File C/0259/10) and agreeing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route and that a contentious-administrative appeal may be filed against it before the National Court, within two months from its notification.</w:t>
      </w:r>
    </w:p>
    <w:p>
      <w:r>
        <w:t xml:space="preserve">DIRECTORATE OF INVESTIGATION  </w:t>
        <w:br/>
        <w:t xml:space="preserve">REPORT AND PROPOSED RESOLUTION  </w:t>
        <w:br/>
        <w:t>FILE C-0259/10 MARE NOSTRUM</w:t>
      </w:r>
    </w:p>
    <w:p>
      <w:r>
        <w:t xml:space="preserve">I. BACKGROUND  </w:t>
        <w:br/>
        <w:t xml:space="preserve">(1) On July 30, 2010, the National Competition Commission (CNC) received a notification regarding the integration of CAJA DE AHORROS DE MURCIA (CAJA MURCIA), CAIXA D'ESTALVIS DEL PENEDÈS (CAIXA PENEDÈS), CAJA GENERAL DE AHORROS DE GRANADA (CAJA GRANADA), and CAJA DE AHORROS Y MONTE PIEDAD DE LAS BALEARES (SA NOSTRA) into a consolidable economic group based on a contractual basis with the classification of Institutional Protection System (SIP)1.  </w:t>
        <w:br/>
        <w:t xml:space="preserve">(2) On August 18, 2010, this Directorate of Investigation requested from the Bank of Spain (BDE) the report provided for in Article 17.2.c) of Law 15/2007, of July 3, on the Defense of Competition (hereinafter LDC), in relation to the reference file. This report was received by the CNC on September 9, 2010.  </w:t>
        <w:br/>
        <w:t>(3) Taking all of the above into account, the deadline to agree to initiate the second phase of the procedure is September 21, 2010, inclusive. After this date, the notified operation will be considered tacitly authorized.</w:t>
      </w:r>
    </w:p>
    <w:p>
      <w:r>
        <w:t xml:space="preserve">II. NATURE OF THE OPERATION  </w:t>
        <w:br/>
        <w:t xml:space="preserve">(4) The notified operation consists of the concentration of CAJA MURCIA, CAIXA PENEDÈS, CAJA GRANADA, and SA NOSTRA through an Integration Contract, dated July 1, 2010, under which the commercial activities of the Savings Banks will be subject to the control of a common governing body participated by the four Savings Banks2 3 the Central Society, which will be configured as the head of the group of entities resulting from the operation in the form of a joint-stock company.  </w:t>
        <w:br/>
        <w:t xml:space="preserve">1 SIPs are a figure created by Royal Decree 216/2008, of February 15, on the own resources of financial entities and Circular 3/2008, of May 22, from the Bank of Spain, to credit institutions on the determination and control of minimum own resources, consisting of a unique organization composed of several entities, based on a commitment of mutual support, regarding which several specialties in risk management and capital consumption are admitted. The possibility of creating a consolidable group of credit entities without the need for a legal merger is contemplated. In summary, a SIP implies a commercial, operational, and financial integration of several entities under common principles of risk and benefit sharing.  </w:t>
        <w:br/>
        <w:t xml:space="preserve">2 Information whose exact content has been declared confidential is indicated in brackets.  </w:t>
        <w:br/>
        <w:t>3 The share capital of the Central Society will be distributed among the Savings Banks as follows: CAJAMURCIA: 38%; CAIXA PENEDÈS: 29%; CAJA GRANADA: 19%; SA NOSTRA: 14%. […]</w:t>
      </w:r>
    </w:p>
    <w:p>
      <w:r>
        <w:t xml:space="preserve">DIRECTORATE OF INVESTIGATION  </w:t>
        <w:br/>
        <w:t xml:space="preserve">(5) The Integration Contract defines the elements of financial, functional, and commercial integration of the Savings Banks.  </w:t>
        <w:br/>
        <w:t xml:space="preserve">(6) Financial integration, according to Clause 9 of the Integration Contract, is a key component of the SIP and will allow the participating Savings Banks to present themselves to regulators and markets as a single entity with a single risk. This integration is achieved through three mechanisms:  </w:t>
        <w:br/>
        <w:t xml:space="preserve">(i) The establishment of a Mutual Support System whereby the Savings Banks undertake the obligation of reciprocal financial assistance in the form of solvency and liquidity guarantees among the members of the Group. […]. Measures for emergency situations are also foreseen, which may include the provision of financial support by the Central Society and/or the Savings Banks.  </w:t>
        <w:br/>
        <w:t xml:space="preserve">(ii) The establishment of a Global Treasury, provided for in Clause 11 of the Integration Contract, which establishes a centralized management system for the Group's treasury in order to form a single aggregated liquidity position for the Group, maintain unified access to financial markets, and act as a single entity before financial institutions.  </w:t>
        <w:br/>
        <w:t xml:space="preserve">(iii) The establishment of a Mutual Participation System in Results provided for in Clause 12 of the Integration Contract. […].  </w:t>
        <w:br/>
        <w:t xml:space="preserve">(7) Functional and commercial integration is structured around three main blocks:  </w:t>
        <w:br/>
        <w:t xml:space="preserve">(i) The unification of business policies and strategies, as the Savings Banks have agreed to subject their activities to the strategic guidelines defined by the Central Society, which, among other matters, is responsible for determining the political and financial strategy of the Group, including capital planning, liquidity management, Group balance sheet management, defining accounting criteria, and coordinating the Group's human resources policy. While the Group's commercial strategy and policy will be defined by the Central Society, each Savings Bank will retain the ability to manage its distribution network in its natural areas4, always framed within the common strategy and policies defined by the Central Society.  </w:t>
        <w:br/>
        <w:t xml:space="preserve">(ii) Operational and technological integration, through the centralization of a technology model and corporate services.  </w:t>
        <w:br/>
        <w:t xml:space="preserve">(iii) The pooling of several joint businesses that the Savings Banks will contribute or transfer directly to the Central Society, which include:  </w:t>
        <w:br/>
        <w:t xml:space="preserve">- wholesale banking and, where applicable, large enterprises.  </w:t>
        <w:br/>
        <w:t xml:space="preserve">4 Natural areas:  </w:t>
        <w:br/>
        <w:t xml:space="preserve">For CAJA GRANADA: the Autonomous Community of Andalusia and the cities of Ceuta and Melilla.  </w:t>
        <w:br/>
        <w:t xml:space="preserve">For CAJAMURCIA: The region of Murcia, Autonomous Community of Valencia, and Albacete.  </w:t>
        <w:br/>
        <w:t xml:space="preserve">For CAIXA PENEDÈS: the Autonomous Communities of Catalonia and Aragon.  </w:t>
        <w:br/>
        <w:t>For SA NOSTRA: The Autonomous Communities of the Balearic Islands and Canary Islands.</w:t>
      </w:r>
    </w:p>
    <w:p>
      <w:r>
        <w:rPr>
          <w:b/>
        </w:rPr>
        <w:t>[Pages 4–6]</w:t>
      </w:r>
    </w:p>
    <w:p>
      <w:r>
        <w:t xml:space="preserve">DIRECTORATE OF INVESTIGATION  </w:t>
        <w:br/>
        <w:t xml:space="preserve">- network of retail offices in the common area5.  </w:t>
        <w:br/>
        <w:t xml:space="preserve">(8) None of the Savings Banks will have exclusive or joint control rights in the General Shareholders' Meeting of the Central Society, where, according to Clause 6.8.2 of the Integration Contract, agreements can be adopted by reinforced qualified majority, by ordinary legal majority, and by qualified majority. Decisions to be adopted by reinforced qualified majority6 or by qualified majority7 do not include matters that, in the sense of Article 7 of the LDC, confer control over the resulting Central Society.  </w:t>
        <w:br/>
        <w:t xml:space="preserve">(9) In relation to decision-making in the Board of Directors, section 6.9.3 of the Integration Contract establishes that agreements on matters that constitute Reserved Matters will require the favorable vote of at least […]8. Considering this qualified majority, the favorable vote of CAJA MURCIA and CAIXA PENEDÈS will be necessary in any case to adopt agreements relating to Reserved Matters9.  </w:t>
        <w:br/>
        <w:t xml:space="preserve">(10) According to the Consolidated Communication of the Commission on Jurisdictional Issues in Competition, the matters on which CAJA MURCIA and CAIXA PENEDÈS have the possibility of negative veto are not sufficient to confer joint control to these two entities over the Central Society. Therefore, none of the Savings Banks will have exclusive or joint control rights in the Board of Directors of the Central Society.  </w:t>
        <w:br/>
        <w:t xml:space="preserve">(11) In light of the above, this Directorate of Investigation considers that the operation constitutes a concentration in the sense of the provisions of Article 7.1 of the LDC, as it constitutes the contractual combination of the businesses of the Savings Banks, which were independent prior to the operation, which implies the disappearance of the commercial autonomy of each of them, which will act in the market as a unit under the control of the Central Society, responsible for defining the common lines of action and distributing among them the profits of the Group and its risks.  </w:t>
        <w:br/>
        <w:t xml:space="preserve">5 The common area is understood as any territory not included in any of the natural areas of the Savings Banks.  </w:t>
        <w:br/>
        <w:t xml:space="preserve">6 […]  </w:t>
        <w:br/>
        <w:t xml:space="preserve">7 […]  </w:t>
        <w:br/>
        <w:t xml:space="preserve">8 […]  </w:t>
        <w:br/>
        <w:t xml:space="preserve">9 These matters refer to the appointment of certain executives (appointment of members of the Executive Committee, Audit Committee, Investment Committee, and Appointments and Remuneration Committee), delegation of certain powers, approval of capital increases, and adoption of agreements related to the commercial strategy of the Central Society that are, however, subject to the parameters established in the Convergence Plan.  </w:t>
        <w:br/>
        <w:t>3</w:t>
      </w:r>
    </w:p>
    <w:p>
      <w:r>
        <w:t xml:space="preserve">DIRECTORATE OF INVESTIGATION  </w:t>
        <w:br/>
        <w:t xml:space="preserve">III. APPLICABILITY OF LAW 15/2007 ON THE DEFENSE OF COMPETITION  </w:t>
        <w:br/>
        <w:t xml:space="preserve">(12) The operation does not have a community dimension since none of the companies involved in the operation have a turnover outside Spanish territory, thus excluding the application of the thresholds provided in Articles 1.2 and 1.3 of Regulation (EC) 139/2004 of January 20 on the control of concentrations between companies.  </w:t>
        <w:br/>
        <w:t xml:space="preserve">(13) The notified operation meets the requirements set forth by the LDC as it exceeds the threshold established in Article 8.1 b) thereof.  </w:t>
        <w:br/>
        <w:t xml:space="preserve">IV. PARTICIPATING COMPANIES  </w:t>
        <w:br/>
        <w:t xml:space="preserve">IV.1. CAJA DE AHORROS DE MURCIA (CAJA MURCIA)  </w:t>
        <w:br/>
        <w:t xml:space="preserve">(14) CAJA MURCIA is a credit institution of a charitable social nature and non-profit, whose main activity is the offering of products and provision of financial services to businesses and individuals. CAJA MURCIA is also active in the life insurance markets through the company Cajamurcia Vida y Pensiones de Seguros y Reaseguros and non-life insurance (general insurance) of CASER10. Additionally, CAJA MURCIA develops activities in the management and marketing of individual and employment pension plans, as well as activities in the intermediation and marketing of investment funds.  </w:t>
        <w:br/>
        <w:t xml:space="preserve">(15) Furthermore, through the CAJA MURCIA Foundation, it promotes, on a non-profit basis, activities for social and cultural development.  </w:t>
        <w:br/>
        <w:t xml:space="preserve">(16) CAJA MURCIA has 413 offices in the provinces of Murcia, Alicante, Castellón, Valencia, Almería, Albacete, Cuenca, and Madrid.  </w:t>
        <w:br/>
        <w:t xml:space="preserve">(17) CAJA MURCIA is not under the control, individually or jointly, directly or indirectly, of any natural or legal person.  </w:t>
        <w:br/>
        <w:t xml:space="preserve">(18) Additionally, the companies controlled by CAJAMURCIA also engage in other types of activities, such as securities issuance, land management and development, real estate exploitation, real estate promotion, or investment in securities.  </w:t>
        <w:br/>
        <w:t xml:space="preserve">(19) The turnover of CAJA MURCIA in the last financial year, in accordance with Article 5 of Royal Decree 261/2008, is, according to the notifying parties, as follows:  </w:t>
        <w:br/>
        <w:t xml:space="preserve">10 In accidents, agricultural insurance, automobiles, ten-year construction damage, deaths, fires, leasing, multi-risk, pecuniary losses, payment protection, repatriation for foreign residents, civil liability, combined theft, health, all-risk construction, and transport.  </w:t>
        <w:br/>
        <w:t>4</w:t>
      </w:r>
    </w:p>
    <w:p>
      <w:r>
        <w:t xml:space="preserve">DIRECTORATE OF INVESTIGATION  </w:t>
        <w:br/>
        <w:t xml:space="preserve">BUSINESS VOLUME OF CAJA MURCIA. 2009  </w:t>
        <w:br/>
        <w:t xml:space="preserve">(Millions of euros)  </w:t>
        <w:br/>
        <w:t xml:space="preserve">WORLDWIDE EU SPAIN  </w:t>
        <w:br/>
        <w:t xml:space="preserve">&lt; 2,500 &gt; 250 &gt; 60  </w:t>
        <w:br/>
        <w:t xml:space="preserve">Source: Notification  </w:t>
        <w:br/>
        <w:t xml:space="preserve">IV.2 CAIXA D'ESTALVIS DEL PENEDÈS (CAIXA PENEDÈS)  </w:t>
        <w:br/>
        <w:t xml:space="preserve">(20) CAIXA PENEDÈS is a Catalan savings bank founded in 1913 whose main activity is the offering of financial products and services to businesses and individuals, also developing the activities of its social work, aimed at culture, education, research, and social assistance.  </w:t>
        <w:br/>
        <w:t xml:space="preserve">(21) CAIXA PENEDÈS is present in the category of para-banking products where it manages and markets investment funds in fixed income securities, equity investment funds, and various investment packages in public and private markets. It also manages and markets pension plan models and offers insurance in various branches, although the insurance and intermediation activity of the Bank focuses on life insurance.  </w:t>
        <w:br/>
        <w:t xml:space="preserve">(22) CAIXA PENEDÈS has a network of 639 offices located in the provinces of Barcelona, Tarragona, Lleida, Girona, Huesca, Zaragoza, Castellón, Valencia, and Madrid.  </w:t>
        <w:br/>
        <w:t xml:space="preserve">(23) CAIXA PENEDÈS is the head of a group of dependent entities, which engage in various activities and together with it constitute the Caixa d'Estalvis del Penedès Group. The main activities carried out by this group are financial, insurance, and real estate.  </w:t>
        <w:br/>
        <w:t xml:space="preserve">(24) CAIXA PENEDÈS is not under the control, individually or jointly, directly or indirectly, of any natural or legal person.  </w:t>
        <w:br/>
        <w:t xml:space="preserve">(25) The turnover of CAIXA PENEDÈS in the last financial year, in accordance with Article 5 of Royal Decree 261/2008, is, according to the notifying parties, as follows:  </w:t>
        <w:br/>
        <w:t xml:space="preserve">BUSINESS VOLUME OF CAIXA PENEDÈS. 2009  </w:t>
        <w:br/>
        <w:t xml:space="preserve">(Millions of euros)  </w:t>
        <w:br/>
        <w:t xml:space="preserve">WORLDWIDE EU SPAIN  </w:t>
        <w:br/>
        <w:t xml:space="preserve">&lt; 2,500 &gt; 250 &gt; 60  </w:t>
        <w:br/>
        <w:t xml:space="preserve">Source: Notification  </w:t>
        <w:br/>
        <w:t xml:space="preserve">IV.3. CAJA GENERAL DE AHORROS DE GRANADA (CAJA GRANADA)  </w:t>
        <w:br/>
        <w:t>(26) CAJA GRANADA is a non-profit savings bank with a social purpose. Its activity focuses on offering financial products and services aimed at businesses, individuals, self-employed, as well as the social sector and</w:t>
      </w:r>
    </w:p>
    <w:p>
      <w:r>
        <w:rPr>
          <w:b/>
        </w:rPr>
        <w:t>[Pages 7–9]</w:t>
      </w:r>
    </w:p>
    <w:p>
      <w:r>
        <w:t>DIRECTORATE OF INVESTIGATION</w:t>
      </w:r>
    </w:p>
    <w:p>
      <w:r>
        <w:t>IV.3. CAJA GENERAL DE AHORROS DE GRANADA (CAJA GRANADA)</w:t>
      </w:r>
    </w:p>
    <w:p>
      <w:r>
        <w:t>(26) CAJA GRANADA is a non-profit savings bank with a social purpose. Its activity focuses on offering financial products and services aimed at businesses, individuals, self-employed persons, as well as the social and agricultural sectors.</w:t>
      </w:r>
    </w:p>
    <w:p>
      <w:r>
        <w:t>(27) CAJA GRANADA manages and markets investment funds from Caja Granada and pension plans, both fixed income and variable income. It also engages in a variety of activities in the insurance market11.</w:t>
      </w:r>
    </w:p>
    <w:p>
      <w:r>
        <w:t>(28) CAJA GRANADA has more than 430 offices in various provinces of the Autonomous Community of Andalusia, Madrid, and Barcelona.</w:t>
      </w:r>
    </w:p>
    <w:p>
      <w:r>
        <w:t>(29) CAJA GRANADA is also the head of a group of dependent entities, multi-group entities, and associates that engage in various activities (such as in the real estate sector) and that, together with it, constitute the Caja Granada Group.</w:t>
      </w:r>
    </w:p>
    <w:p>
      <w:r>
        <w:t>(30) CAJA GRANADA is not under the control, individually or jointly, directly or indirectly, of any natural or legal person.</w:t>
      </w:r>
    </w:p>
    <w:p>
      <w:r>
        <w:t>(31) The turnover of CAJA GRANADA in the last financial year, in accordance with Article 5 of Royal Decree 261/2008, is, according to the notifying parties, as follows:</w:t>
      </w:r>
    </w:p>
    <w:p>
      <w:r>
        <w:t xml:space="preserve">CAJA GRANADA BUSINESS VOLUME. 2009  </w:t>
        <w:br/>
        <w:t xml:space="preserve">(Millions of euros)  </w:t>
        <w:br/>
        <w:t xml:space="preserve">WORLDWIDE EU SPAIN  </w:t>
        <w:br/>
        <w:t xml:space="preserve">&lt; 2,500 &gt; 250 &gt; 60  </w:t>
        <w:br/>
        <w:t>Source: Notification</w:t>
      </w:r>
    </w:p>
    <w:p>
      <w:r>
        <w:t>IV.4 CAJA DE AHORROS Y MONTE PIEDAD DE LAS BALEARES (SA NOSTRA)</w:t>
      </w:r>
    </w:p>
    <w:p>
      <w:r>
        <w:t>(32) SA NOSTRA is a Mallorcan savings bank whose main activity focuses on providing banking and financial services, including products aimed at savings and credit. It is a non-profit entity, whose profits are allocated to social and cultural works.</w:t>
      </w:r>
    </w:p>
    <w:p>
      <w:r>
        <w:t>(33) Additionally, SA NOSTRA markets pension plans and investment funds.</w:t>
      </w:r>
    </w:p>
    <w:p>
      <w:r>
        <w:t>(34) Apart from its banking activity, SA NOSTRA develops other activities such as life and non-life insurance brokerage, leasing of movable and immovable property, and advisory and consulting services for the management of large estates.</w:t>
      </w:r>
    </w:p>
    <w:p>
      <w:r>
        <w:t>(35) SA NOSTRA has more than 230 offices in the Balearic Islands, Valencia, Catalonia, Madrid, the Canary Islands, and Castilla la Mancha.</w:t>
      </w:r>
    </w:p>
    <w:p>
      <w:r>
        <w:t>(36) SA NOSTRA controls a group of financial entities engaged, among other activities, in consumer credit, insurance brokerage, and securities companies.</w:t>
      </w:r>
    </w:p>
    <w:p>
      <w:r>
        <w:t>(37) SA NOSTRA is not under the control, individually or jointly, directly or indirectly, of any natural or legal person.</w:t>
      </w:r>
    </w:p>
    <w:p>
      <w:r>
        <w:t>(38) The turnover of SA NOSTRA in the last financial year, in accordance with Article 5 of Royal Decree 261/2008, is, according to the notifying parties, as follows:</w:t>
      </w:r>
    </w:p>
    <w:p>
      <w:r>
        <w:t xml:space="preserve">SA NOSTRA BUSINESS VOLUME. 2009  </w:t>
        <w:br/>
        <w:t xml:space="preserve">(Millions of euros)  </w:t>
        <w:br/>
        <w:t xml:space="preserve">WORLDWIDE EU SPAIN  </w:t>
        <w:br/>
        <w:t xml:space="preserve">&lt; 2,500 &gt; 250 &gt; 60  </w:t>
        <w:br/>
        <w:t>Source: Notification</w:t>
      </w:r>
    </w:p>
    <w:p>
      <w:r>
        <w:t>V. MARKETS AFFECTED BY THE OPERATION</w:t>
      </w:r>
    </w:p>
    <w:p>
      <w:r>
        <w:t>(39) The main areas of activity in which the participants are present are banking services, the insurance sector, and the management of pension plans and funds.</w:t>
      </w:r>
    </w:p>
    <w:p>
      <w:r>
        <w:t>(40) Additionally, the participants in the operation are present in other ancillary activities such as activities related to the real estate sector, electricity generation activities, tourism-related activities, and consulting activities for businesses. According to the notifying parties, the market share of the entity resulting from this operation will be [0-10%] of the national market, therefore this Directorate of Investigation does not consider a further analysis necessary in this case.</w:t>
      </w:r>
    </w:p>
    <w:p>
      <w:r>
        <w:t>(41) Existing national12 and community13 precedents have traditionally distinguished three segments within banking services:</w:t>
      </w:r>
    </w:p>
    <w:p>
      <w:r>
        <w:t>(42) Retail banking: Retail banking services are aimed at the market of individuals, businesses, and SMEs. Retail banking maintains operations for a broad customer base that conducts a large number of small transactions, thus requiring an extensive network of branches to serve a large and often dispersed clientele. This segment encompasses various instruments such as deposit gathering, the granting of credits and loans, operations related to credit and debit cards, and the marketing of off-balance sheet resources, such as investment funds, pension funds, and insurance.</w:t>
      </w:r>
    </w:p>
    <w:p>
      <w:r>
        <w:t>(43) The CNC14 has considered in its most recent precedents that, for banking directed at small savers and SMEs, the market may be of a national nature, due to the fact that competitive conditions in member states are significantly different, as a result, among other factors, of language differences, consumer preferences for local providers, different business cultures, and the importance that the branch network still holds in that banking segment. They also indicate a gradual decrease in these differences is likely, as a result of the expansion of alternative distribution channels enabled by new technologies, especially in the areas of telephone and internet banking.</w:t>
      </w:r>
    </w:p>
    <w:p>
      <w:r>
        <w:t>(44) The Natural Zones of CAJA MURCIA are the region of Murcia, the Autonomous Community of Valencia, and the province of Albacete; those of CAJA GRANADA are the Autonomous Community of Andalusia and the cities of Ceuta and Melilla; those of CAIXA PENEDÈS are the Autonomous Communities of Catalonia and Aragón; and those of SA NOSTRA are the Autonomous Communities of the Balearic Islands and the Canary Islands.</w:t>
      </w:r>
    </w:p>
    <w:p>
      <w:r>
        <w:t>(45) Furthermore, the participating savings banks also engage in retail banking activities in provincial and/or autonomous areas different from their respective territories of origin.</w:t>
      </w:r>
    </w:p>
    <w:p>
      <w:r>
        <w:t>(46) In light of the above, the impact of the operation will be analyzed in Spain, in the Balearic Islands, and in the provinces of Granada and Murcia, where the entity resulting from the operation will reach a combined market share of [10-20%] in the provincial scope15, despite the fact that, for the reasons stated, this Directorate of Investigation considers that, currently, the retail banking market is not of a local dimension but rather national.</w:t>
      </w:r>
    </w:p>
    <w:p>
      <w:r>
        <w:t>(47) Corporate banking: This segment encompasses banking services to large companies and public bodies and institutions. Its activity is carried out in large financial centers, in few highly specialized operational units with highly qualified personnel, as the national competition authority has pointed out16. It includes different products such as deposits, short and long-term loans, guarantee credits, commercial paper management, foreign trade financing, swaps, leasing, and factoring.</w:t>
      </w:r>
    </w:p>
    <w:p>
      <w:r>
        <w:t>(48) According to the notifying parties, the participants in the operation do not have a specific corporate banking service policy, as they include within their retail banking activity the services they offer to businesses.</w:t>
      </w:r>
    </w:p>
    <w:p>
      <w:r>
        <w:rPr>
          <w:b/>
        </w:rPr>
        <w:t>[Pages 10–12]</w:t>
      </w:r>
    </w:p>
    <w:p>
      <w:r>
        <w:t xml:space="preserve">DIRECTORATE OF INVESTIGATION  </w:t>
        <w:br/>
        <w:t xml:space="preserve">(49) The European Commission has considered, in the cited precedents, that the geographical market is transnational, potentially being global in the case of large corporations and monetary market activities. However, in some national precedents17 it was considered that certain segments of corporate banking and investment banking products may have a national scope, particularly for small and medium-sized enterprises.  </w:t>
        <w:br/>
        <w:t xml:space="preserve">(50) Investment banking and operations in the monetary markets: This encompasses advisory services on the issuance of instruments - such as shares and other securities, admission to listing on organized markets, mergers and acquisitions, or privatizations - operations in financial markets - such as the acquisition and sale of securities in primary and secondary markets, derivative transactions, operations in foreign exchange markets, and other monetary markets - and private banking services (personalized advice to clients with substantial wealth).  </w:t>
        <w:br/>
        <w:t xml:space="preserve">(51) The cited precedents consider that investment banking is of a supranational scope, potentially being global in the case of monetary market activities, and national for certain operations.  </w:t>
        <w:br/>
        <w:t xml:space="preserve">(52) Regarding insurance activity, both Spanish and community competition authorities have distinguished18 three broad product markets in the insurance sector: life insurance, non-life insurance, and reinsurance.  </w:t>
        <w:br/>
        <w:t xml:space="preserve">(53) As for the geographical dimension of insurance markets, both the European Commission and national competition authorities agree, in the previously cited precedents, in establishing that the life and non-life insurance market aimed at private consumers is of a national nature due, among other reasons, to the different structures of national markets, the need for adequate distribution channels, tax limitations, and consequently, the different regulations of each country to which foreign insurance entities must adapt. Nevertheless, the European Commission notes a growing transnational activity.  </w:t>
        <w:br/>
        <w:t xml:space="preserve">(54) Pension plans and funds, according to existing national precedents19, constitute a differentiated activity from life insurance, although they cover similar risks (such as obtaining financial compensation at retirement).  </w:t>
        <w:br/>
        <w:t xml:space="preserve">17 Resolution of the defunct TDC in case N-06053 Banco Sabadell/Banco Urquijo and Report of the CNC in file C-0050/08 La Caixa/Morgan Stanley.  </w:t>
        <w:br/>
        <w:t xml:space="preserve">18 Among others, one could cite the community cases IV/M.759 SUN ALLIANCE/ROYAL INSURANCE, IV/M.862 AXA/UAP, IV/M.985 CREDIT SUISSE/WINTERTHUR, IV/M.812 ALLIANZ VEREINTE, and IV/M.1082 ALLIANZ/AGF, as well as the national cases N-068 MAPFRE/CAJA MADRID, N-141 MAPFRE/FINISTERRE, N-161 SEGUROS BILBAO/BALOISE SEGUROS, N-03050 MAPFRE-CAJA MADRID HOLDING/MUSINI, C/0066/08 MAPFRE/CAJA DUERO/DUERO VIDA/DUERO PENSIONES; C/0100/08 REALE/CAIXA TERRASSA/TERRASSA PREVISIÓ and C-0128-08 CAJASOL/CASER.  </w:t>
        <w:br/>
        <w:t xml:space="preserve">19 See the reports of files C-0050-08 LA CAIXA/MORGAN STANLEY and C-0128-08 CAJASOL/CASER, as well as the Prior Consultation CP-0000-08 BBK/GRUPO FINECO.  </w:t>
        <w:br/>
        <w:t>9</w:t>
      </w:r>
    </w:p>
    <w:p>
      <w:r>
        <w:t xml:space="preserve">DIRECTORATE OF INVESTIGATION  </w:t>
        <w:br/>
        <w:t xml:space="preserve">(55) The market for the management of pension plans and funds is considered in the community and national precedents to be of national dimension due, among other reasons, to the different structures of national markets, the need for adequate distribution channels, tax limitations, and, in summary, the different regulations of each country, to which foreign entities must adapt.  </w:t>
        <w:br/>
        <w:t xml:space="preserve">VI. MARKET ANALYSIS  </w:t>
        <w:br/>
        <w:t xml:space="preserve">VI.1. Supply Structure  </w:t>
        <w:br/>
        <w:t xml:space="preserve">(56) According to the notifying parties, the joint market share of the participating savings banks in the national retail banking market, in terms of loans and deposits from the resident private sector, amounts to [0-10%] and [0-10%], respectively, in 2009. Regarding the number of offices, the joint share reached [0-10%] of the national market in 2009.  </w:t>
        <w:br/>
        <w:t xml:space="preserve">(57) The share of the entity resulting from the operation in the retail banking market would exceed [10-20%] in the Balearic Islands and in the provinces of Murcia and Granada with a joint share, according to loans to the resident private sector, of [10-20%], [20-30%], and [20-30%], respectively, in 2009. Considering the deposits of the resident private sector, the joint share in those regions was [20-30%], [30-40%], and [30-40%], respectively, in 2009. Finally, regarding the criterion of the number of offices, the joint share was [10-20%], [10-20%], and [20-30%], respectively, in 2009.  </w:t>
        <w:br/>
        <w:t xml:space="preserve">(58) In the case of the Balearic Islands, no savings bank other than SA NOSTRA operates, so the addition of market share would be null in this territory.  </w:t>
        <w:br/>
        <w:t xml:space="preserve">(59) In the case of Murcia, there is an increase in market share compared to the situation prior to the concentration operation of [0-10%] percentage points in terms of loans to the resident private sector, [0-10%] percentage points in terms of deposits from the resident private sector, and [0-10%] percentage points in terms of the number of offices.  </w:t>
        <w:br/>
        <w:t xml:space="preserve">(60) Regarding Granada, there is an increase in market share compared to the situation prior to the concentration operation of [0-10%] percentage points in terms of loans to the resident private sector in 2009.  </w:t>
        <w:br/>
        <w:t xml:space="preserve">(61) According to the BDE, in this regard, the data contained in the notification made by the notifying parties does not diverge substantially from those in their possession.  </w:t>
        <w:br/>
        <w:t xml:space="preserve">(62) According to the notifying parties, the share of the entity resulting from the operation in investment banking, insurance, and pension plan management is below [0-10%] in all these markets at the national level. In particular, according to the notifying parties, the individual shares of the participating savings banks are below [0-10%] in each of these markets at the national level.  </w:t>
        <w:br/>
        <w:t xml:space="preserve">VI.2 Demand Structure and Distribution Channels  </w:t>
        <w:br/>
        <w:t>10</w:t>
      </w:r>
    </w:p>
    <w:p>
      <w:r>
        <w:t xml:space="preserve">DIRECTORATE OF INVESTIGATION  </w:t>
        <w:br/>
        <w:t xml:space="preserve">(63) According to the notifying parties, in the retail banking sector, demand is highly fragmented, being primarily composed of individuals and small and medium-sized enterprises. This demand profile implies a high number of clients who individually represent a relatively small business volume, especially when compared to other activities in the banking and financial sectors.  </w:t>
        <w:br/>
        <w:t xml:space="preserve">(64) As for distribution channels for retail banking services, the branch has traditionally been the most important channel due to personalized face-to-face attention to clients. However, technological advances have allowed significant development in the provision of retail banking services through various channels such as self-service (automated teller machines or similar), telephone banking, online banking, and mobile banking.  </w:t>
        <w:br/>
        <w:t xml:space="preserve">(65) The distribution of retail banking products and services through the aforementioned channels is carried out by CAJA MURCIA, CAIXA PENEDÈS, CAJA GRANADA, and SA NOSTRA.  </w:t>
        <w:br/>
        <w:t xml:space="preserve">VI.3 Barriers to Entry and Potential Competition  </w:t>
        <w:br/>
        <w:t xml:space="preserve">(66) The liberalization of the Spanish financial system, as a result of European harmonization, has led to the elimination of a large part of the barriers to entry in the banking sector. All operators have access to the necessary technology, and price information is complete and available to consumers and entities, which implies greater transparency in the sector.  </w:t>
        <w:br/>
        <w:t xml:space="preserve">(67) The notifying parties consider that the legal requirements for providing banking services in Spain set forth in Royal Decree 1245/1995, of July 14, do not constitute a barrier to entry, being easily accessible for operators in the financial sector.  </w:t>
        <w:br/>
        <w:t xml:space="preserve">(68) Additionally, entities from other Member States can operate through branches in Spain without the need to establish a banking entity for that purpose.  </w:t>
        <w:br/>
        <w:t xml:space="preserve">(69) The notifying parties also point out that the costs for clients associated with changing service providers are low. In this regard, all savings banks have adhered to the "Common Principles for the Transfer of Bank Accounts"20 aimed at promoting competition in the banking sector. In application of this document, the savings banks have committed to clearly and comprehensively inform their clients who wish to transfer their current account about the respective responsibilities of the credit entities involved in the transfer, the timelines of the process, and, if applicable, the cost to the client.  </w:t>
        <w:br/>
        <w:t xml:space="preserve">(70) For its part, the BDE considers that there is effective competition in the national retail banking market, with a high number of credit entities.  </w:t>
        <w:br/>
        <w:t xml:space="preserve">20 Jointly developed by CECA (Spanish Confederation of Savings Banks), the Spanish Banking Association (AEB), and the Union of Credit Cooperatives (UNACC), which incorporates the "Common principles for bank account switching" from the European Bank Industry Committee.  </w:t>
        <w:br/>
        <w:t>11</w:t>
      </w:r>
    </w:p>
    <w:p>
      <w:r>
        <w:rPr>
          <w:b/>
        </w:rPr>
        <w:t>[Pages 13–13]</w:t>
      </w:r>
    </w:p>
    <w:p>
      <w:r>
        <w:t>DIRECTORATE OF INVESTIGATION</w:t>
      </w:r>
    </w:p>
    <w:p>
      <w:r>
        <w:t>Furthermore, the absence of entry barriers allows new competitors to access this market, both in the short and medium term. Additionally, the BDE considers that the economic situation incorporates strong pressure for integration processes to be undertaken in the Spanish financial sector, within a framework of clear excess capacity.</w:t>
      </w:r>
    </w:p>
    <w:p>
      <w:r>
        <w:t>VII. ASSESSMENT</w:t>
      </w:r>
    </w:p>
    <w:p>
      <w:r>
        <w:t>(71) The notified operation consists of the concentration of CAJA MURCIA, CAIXA PENEDÈS, CAJA GRANADA, and SA NOSTRA into an economic group where the commercial activities of the Savings Banks will be subject to the control of a common governing body participated by the Banks, the Central Society, which will be configured as the head of the group of entities resulting from the operation in the form of a public limited company.</w:t>
      </w:r>
    </w:p>
    <w:p>
      <w:r>
        <w:t>(72) The effects of the operation are focused on the banking sector, particularly in retail banking. It is not expected that the operation will modify the competitive structure of this market across the national territory, where the joint shares are [0-10%], [0-10%], and [0-10%] concerning loans, deposits, and number of offices, respectively.</w:t>
      </w:r>
    </w:p>
    <w:p>
      <w:r>
        <w:t>(73) Given the special impact of this operation on the natural territories of the participating Banks, this Directorate of Investigation has also analyzed its local effects, concluding that no competition problems are expected in the Balearic Islands and in the provinces of Murcia and Granada, where the joint shares are above [10-20%] but with additions of [0-10%]; [0-10%], and [0-10%] percentage points, respectively. Additionally, in all regions coinciding with the natural areas of the Banks, there are other operators with significant market size.</w:t>
      </w:r>
    </w:p>
    <w:p>
      <w:r>
        <w:t>(74) For its part, the BDE concludes that the operation will not hinder the maintenance of effective competition in the affected provincial and autonomous areas, much less at the national level, and considers that in a context of economic cycle deterioration in Spain, manifested in a strong increase in delinquency, decrease in solvency, significant real estate risk, and strong dependence on financing obtained in the wholesale market, the integration of these four entities is an adequate and reasonable solution, as it seeks greater efficiency through synergies, increased solvency, improved competitive position, and increased profitability.</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