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https://www.cnmc.es/expedientes/c026310</w:t>
      </w:r>
    </w:p>
    <w:p>
      <w:r>
        <w:t>Pages translated : 6</w:t>
      </w:r>
    </w:p>
    <w:p/>
    <w:p>
      <w:r>
        <w:rPr>
          <w:b/>
        </w:rPr>
        <w:t>[Pages 1–3]</w:t>
      </w:r>
    </w:p>
    <w:p>
      <w:r>
        <w:t xml:space="preserve">NATIONAL COMPETITION COMMISSION  </w:t>
        <w:br/>
        <w:t xml:space="preserve">RESOLUTION (File C-0263/10, BBK/CAJASUR)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In Madrid, on October 6, 2010.</w:t>
      </w:r>
    </w:p>
    <w:p>
      <w:r>
        <w:t>Having reviewed the file processed in accordance with Law 15/2007, of July 3, on the Defense of Competition, regarding the exclusive control acquisition of CAJA DE AHORROS Y MONTE DE PIEDAD DE CÓRDOBA (CAJASUR) by BILBAO BIZKAIA KUTXA ETA BAHITETXEA (BBK) (File C/0263/10), and agreeing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C-263/10 BBK/CAJASUR</w:t>
      </w:r>
    </w:p>
    <w:p>
      <w:r>
        <w:t xml:space="preserve">I. BACKGROUND  </w:t>
        <w:br/>
        <w:t xml:space="preserve">(1) On August 2, 2010, the National Competition Commission (CNC) received notification of the exclusive control acquisition of CAJA DE AHORROS Y MONTE DE PIEDAD DE CÓRDOBA (CAJASUR) by BILBAO BIZKAIA KUTXA, AURREZKI KUTXA ETA BAHITETXEA (BBK).  </w:t>
        <w:br/>
        <w:t xml:space="preserve">(2) On August 18, 2010, this Directorate of Investigation requested from the Bank of Spain (BDE) the report provided for in Article 17.2.c) of Law 15/2007, of July 3, on the Defense of Competition (hereinafter LDC), in relation to the referenced file. This report was received by the CNC on October 1, 2010.  </w:t>
        <w:br/>
        <w:t>(3) The deadline to decide to initiate the second phase of the procedure is October 16, 2010, inclusive. After this date, the notified operation will be considered tacitly authorized.</w:t>
      </w:r>
    </w:p>
    <w:p>
      <w:r>
        <w:t xml:space="preserve">II. APPLICABILITY OF LAW 15/2007 ON THE DEFENSE OF COMPETITION  </w:t>
        <w:br/>
        <w:t xml:space="preserve">(4) The notified operation is an economic concentration in the sense of Article 7.1 b) of the LDC.  </w:t>
        <w:br/>
        <w:t xml:space="preserve">(5) The operation is not of community dimension, as it does not reach the thresholds established in paragraphs 2 and 3 of Article 1 of Council Regulation (EC) No. 139/2004 of January 20, 2004, on the control of concentrations between undertakings. In any case, the participating companies generate more than two-thirds of their total turnover in the Community within the same Member State.  </w:t>
        <w:br/>
        <w:t>(6) The notified operation meets the requirements set forth by the LDC as it exceeds the threshold established in Article 8.1 b) of the same and complies with the requirements set forth in Article 56.1 b) of the aforementioned regulation.</w:t>
      </w:r>
    </w:p>
    <w:p>
      <w:r>
        <w:t xml:space="preserve">III. PARTICIPATING COMPANIES  </w:t>
        <w:br/>
        <w:t xml:space="preserve">(7) BBK is a savings bank and, therefore, a financial institution of a social nature and foundational character that is not controlled by any natural or legal person.  </w:t>
        <w:br/>
        <w:t>(8) BBK is primarily active in the Basque Country, where it has 243 of its 412 branches, of which 400 serve households, 11 are business offices, and one is a public entity office. It is essentially engaged in retail banking activities (current accounts, deposits, consumer and mortgage loans, and credit card operations) and in the management of investment and pension funds.</w:t>
      </w:r>
    </w:p>
    <w:p>
      <w:r>
        <w:t xml:space="preserve">DIRECTORATE OF INVESTIGATION  </w:t>
        <w:br/>
        <w:t xml:space="preserve">(9) Through various subsidiaries of its financial group, BBK is present in the real estate services and life and non-life insurance markets, although in a residual manner.  </w:t>
        <w:br/>
        <w:t xml:space="preserve">(10) CAJASUR is a savings bank that is not controlled by any natural or legal person. Currently, the FROB is its administrator.  </w:t>
        <w:br/>
        <w:t xml:space="preserve">(11) CAJASUR is primarily engaged in retail banking activities that can be divided into three segments: (i) individual products; (ii) products for companies, self-employed individuals, and public entities; (iii) products aimed at the youth segment.  </w:t>
        <w:br/>
        <w:t xml:space="preserve">(12) For the development of its activity, CAJASUR has 474 branches established in the Autonomous Communities of Andalusia, Extremadura, Castilla-La Mancha, Valencia, Catalonia, Madrid, and Murcia. CAJASUR does not have branches in the Basque Country.  </w:t>
        <w:br/>
        <w:t>(13) CAJASUR is also the parent company of the group of the same name, consisting of a set of companies that are marginally engaged in real estate and insurance activities, both life and non-life.</w:t>
      </w:r>
    </w:p>
    <w:p>
      <w:r>
        <w:t xml:space="preserve">IV. MARKETS AFFECTED BY THE OPERATION  </w:t>
        <w:br/>
        <w:t xml:space="preserve">(14) The economic sector involved in the operation is the provision of banking services, in which both parties are active. They are also marginally active in the real estate and insurance sectors, both life and non-life.  </w:t>
        <w:br/>
        <w:t xml:space="preserve">(15) National1 and community2 precedents have distinguished three segments within the banking services sector (retail banking, corporate banking, and investment banking), based on criteria derived from the characteristics of demand and the nature and composition of the type of services offered. Furthermore, each of these segments operates through different sales channels, so the characteristics of competition differ in each of them:  </w:t>
        <w:br/>
        <w:t xml:space="preserve">(16) Retail banking. Retail banking services are aimed at the market of individuals, businesses, and SMEs. Retail banking maintains operations for a broad customer base that conducts a large number of transactions.  </w:t>
        <w:br/>
        <w:t xml:space="preserve">1 Files C-0228/10 CAIXA MANLLEU/CAIXA SABADELL/CAIXA TERRASA; C-0196/09 CAIXA CATALUNYA/CAIXA TARRAGONA/CAIXA MANRESA, C-0120/08 LLOYDS TSB/HBOS and C-0050/08 LA CAIXA/MORGAN STANLEY of the CNC; Files N-06098 EL MONTE/CAJA SAN FERNANDO, N-06053 BANCO SABADELL/BANCO URQUIJO and N-03077 BANCO SABADELL/BANCO ATLÁNTICO of the defunct SDC and Resolutions C61/00 BANCO HERRERO/BANCO SABADELL, C51/00 CAJAS NAVARRAS, C43/99 CAIXA VIGO/CAIXA OURENSE/CAIXA PONTEVEDRA, C47/99 BBV/ARGENTARIA and C39/99 BANCO SANTANDER/BANCO CENTRAL HISPANOAMERICANO of the defunct TDC. Among the most recent: C-196/09 CAIXA CATALUNYA/CAIXA TARRAGONA/CAIXA MANRESA; C-228/10 CAIXA MANLLEU/CAIXA SABADELL/CAIXA TERRASA; C-227/10 GRUPO BANCA CÍVICA; C-238/10 CAJASTUR/CCM.  </w:t>
        <w:br/>
        <w:t>2 Cases M.4844 FORTIS/ABN AMRO ASSETS; M.4692 BARCLAYS/ABN AMRO; M.3894 UNICREDITO/HVB and M.2225 FORTIS/ASR, among others.</w:t>
      </w:r>
    </w:p>
    <w:p>
      <w:r>
        <w:rPr>
          <w:b/>
        </w:rPr>
        <w:t>[Pages 4–6]</w:t>
      </w:r>
    </w:p>
    <w:p>
      <w:r>
        <w:t xml:space="preserve">DIRECTORATE OF INVESTIGATION  </w:t>
        <w:br/>
        <w:t xml:space="preserve">small-scale operations, so it requires an extensive network of branches to satisfy a large and often dispersed clientele. This segment includes various instruments such as the collection of deposits, the granting of credits and loans, operations related to credit and debit cards, and the marketing of off-balance-sheet resources, such as investment funds, pension funds, and insurance.  </w:t>
        <w:br/>
        <w:t xml:space="preserve">(17) The CNC has considered in its most recent precedents3 that retail banking is of a national character, due to the fact that competitive conditions in the Member States are significantly different from each other. However, it notes a likely gradual decrease in these differences as a result of the expansion of alternative distribution channels enabled by new technologies, especially in the areas of telephone and Internet banking.  </w:t>
        <w:br/>
        <w:t xml:space="preserve">(18) In the present operation, the impact of the operation on the retail banking market in Spain and in the province of Córdoba will be analyzed, the only one in which, as a result of the operation, the combined share of the parties exceeds 15%.  </w:t>
        <w:br/>
        <w:t xml:space="preserve">(19) Corporate banking. This segment encompasses banking services to large companies and public entities and institutions. Its activity is carried out in large financial centers, in few highly specialized operational units, and with highly qualified personnel. It includes different products such as deposits, short and long-term loans, guarantee credits, commercial paper management, foreign trade financing, swaps, leasing, and factoring.  </w:t>
        <w:br/>
        <w:t xml:space="preserve">(20) In this case, the relevant geographical scope is supranational, potentially global in the case of large corporations, although certain services continue to be offered at the national level, particularly for medium and small enterprises.  </w:t>
        <w:br/>
        <w:t xml:space="preserve">(21) Investment banking and operations in the money markets. This includes advisory services on the issuance of instruments, operations in financial markets, and private banking services (personalized advice to clients with large assets).  </w:t>
        <w:br/>
        <w:t xml:space="preserve">(22) As in the previous case, precedents consider this market to be supranational, potentially global in the case of money market activities, and national for certain operations.  </w:t>
        <w:br/>
        <w:t xml:space="preserve">(23) Both BBK and CAJASUR provide retail banking, corporate banking, investment banking, and operations in the money markets.  </w:t>
        <w:br/>
        <w:t xml:space="preserve">(24) The parties are also active in the real estate and insurance markets, both life and non-life, although in a residual manner (their combined share is less than [0-10]% of the national market in all of them), so they will not be subject to further analysis.  </w:t>
        <w:br/>
        <w:t xml:space="preserve">V. SHARES OF THE PARTICIPANTS  </w:t>
        <w:br/>
        <w:t xml:space="preserve">(25) According to the notifying parties and the BDE, the combined share of the participating savings banks in the national retail banking market, in terms of credits and deposits from the resident private sector, amounts to [0-10]% and [0-10]%, respectively5. Regarding the number of offices, the combined share reached [0-10]% in 2009.  </w:t>
        <w:br/>
        <w:t xml:space="preserve">(26) The activities of the participants in the operation overlap in the Autonomous Communities of Andalusia, Madrid, and Valencia. In Andalusia, the combined share of the parties, in terms of credits and deposits, was [0-10]% and [0-10]%, respectively. In Madrid and the Valencian Community, the combined share of the parties, in terms of branches6, did not exceed [0-10]% and [0-10]%, respectively.  </w:t>
        <w:br/>
        <w:t xml:space="preserve">(27) The only provinces where the combined share of the parties exceeds 15% are Vizcaya and Córdoba. In the former, there is no addition of share, which remains at [20-30]% (in terms of credits) and [30-40]% (deposits), while the combined shares in Córdoba amount to [20-30]% (credits), [40-50]% (deposits), and [20-30]% (number of branches).  </w:t>
        <w:br/>
        <w:t xml:space="preserve">(28) According to the notifying party, the combined share in providing banking services to public entities and institutions is less than [0-10]% in the segment of credits to Public Administrations and less than [0-10]% in the segment of deposits from Public Administrations.  </w:t>
        <w:br/>
        <w:t xml:space="preserve">(29) According to the notifying party, the combined share of the parties in the private banking segment was less than [0-10]% in Spain.  </w:t>
        <w:br/>
        <w:t xml:space="preserve">VI. ASSESSMENT  </w:t>
        <w:br/>
        <w:t xml:space="preserve">(30) The operation consists of the exclusive control acquisition of CAJA DE AHORROS Y MONTE DE PIEDAD DE CÓRDOBA (CAJASUR) by BILBAO BIZKAIA KUTXA, AURREZKI KUTXA ETA BAHITETXEA (BBK).  </w:t>
        <w:br/>
        <w:t xml:space="preserve">(31) The effects of the operation focus on the banking sector and especially on retail banking. It is not expected that the operation will modify the competitive structure of this market across the national territory, where BBK will continue to have a combined share of less than [0-10]%, both in terms of credits and deposits.  </w:t>
        <w:br/>
        <w:t xml:space="preserve">(32) Given the special impact of the present operation on the natural territories of the participating savings banks, this Directorate of Investigation has also analyzed its local effects. Thus, the operation will allow BBK to strengthen its position primarily in Andalusia, where it reaches a combined share of [0-10]%, in terms of deposits, thanks to the position that CAJASUR already holds in this Community.  </w:t>
        <w:br/>
        <w:t xml:space="preserve">(33) By provinces, BBK's presence is particularly significant in Vizcaya and Córdoba, where it exceeds a combined share of 15%, but with an addition of less than [0-10]%.  </w:t>
        <w:br/>
        <w:t xml:space="preserve">(34) Additionally, according to the BDE, in the natural areas of both savings banks (especially the Basque Country and Andalusia), there are other operators with significant size in the market.  </w:t>
        <w:br/>
        <w:t xml:space="preserve">(35) Therefore, it is considered that the concentration operation does not hinder the maintenance of effective competition in the provincial and autonomous markets nor, much less, at the national level.  </w:t>
        <w:br/>
        <w:t xml:space="preserve">VII.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