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https://www.cnmc.es/expedientes/c026610</w:t>
      </w:r>
    </w:p>
    <w:p>
      <w:r>
        <w:t>Pages translated : 1</w:t>
      </w:r>
    </w:p>
    <w:p/>
    <w:p>
      <w:r>
        <w:rPr>
          <w:b/>
        </w:rPr>
        <w:t>[Pages 1–1]</w:t>
      </w:r>
    </w:p>
    <w:p>
      <w:r>
        <w:t xml:space="preserve">NATIONAL COMPETITION COMMISSION  </w:t>
        <w:br/>
        <w:t xml:space="preserve">RESOLUTION (Case C-0266/10, CAJAS RURALES DEL MEDITERRANEO)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In Madrid, on September 6, 2010.</w:t>
      </w:r>
    </w:p>
    <w:p>
      <w:r>
        <w:t>Having reviewed the case processed in accordance with Law 15/2007, of July 3, on the Defense of Competition, concerning the economic concentration operation consisting of the exclusive control acquisition by CAJA RURAL DEL MEDITERRANEO, RURALCAJA, CREDIT COOPERATIVE SOCIETY of thirteen credit entities, through the creation of the Cooperative Group CAJAS RURALES DEL MEDITERRANEO, integrated by all of them, (Case C/0266/10), and in agreement with the report and proposal submitted by the Directorate of Investigation, the Council of the National Competition Commission has resolved, in application of Article 57.2.e) of the aforementioned Law, to archive the concentration.</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