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https://www.cnmc.es/expedientes/c027110</w:t>
      </w:r>
    </w:p>
    <w:p>
      <w:r>
        <w:t>Pages translated : 8</w:t>
      </w:r>
    </w:p>
    <w:p/>
    <w:p>
      <w:r>
        <w:rPr>
          <w:b/>
        </w:rPr>
        <w:t>[Pages 1–3]</w:t>
      </w:r>
    </w:p>
    <w:p>
      <w:r>
        <w:t xml:space="preserve">RESOLUTION  </w:t>
        <w:br/>
        <w:t xml:space="preserve">Expte. C- 0271/10. REDSYS/REDY  </w:t>
        <w:br/>
        <w:t xml:space="preserve">Council:  </w:t>
        <w:br/>
        <w:t xml:space="preserve">Mr. Luis Berenguer Fuster, President  </w:t>
        <w:br/>
        <w:t xml:space="preserve">Ms. Pilar Sánchez Núñez, Vice President  </w:t>
        <w:br/>
        <w:t xml:space="preserve">Ms. María Jesús González López, Councilor  </w:t>
        <w:br/>
        <w:t xml:space="preserve">Ms. Inmaculada Gutiérrez Carrizo, Councilor  </w:t>
        <w:br/>
        <w:t>Madrid, March 14, 2011</w:t>
      </w:r>
    </w:p>
    <w:p>
      <w:r>
        <w:t>The Council of the National Competition Commission, with the composition expressed and with the rapporteur being Councilor Ms. María Jesús González López, has issued this Resolution in accordance with Article 57.2.b) of Law 15/2007, of July 3, on Competition Defense (hereinafter Law 15/2007) in the concentration file C- 0271/10. REDSYS/REDY, regarding the economic concentration operation consisting of the merger of the companies REDSYS SERVICIOS DE PROCESAMIENTO, S.L.U. (“REDSYS”) and REDES Y PROCESOS, S.A. (“REDY”).</w:t>
      </w:r>
    </w:p>
    <w:p>
      <w:r>
        <w:t xml:space="preserve">FACTUAL BACKGROUND  </w:t>
        <w:br/>
        <w:t xml:space="preserve">1. On August 16, 2010, a notification regarding the merger of the companies REDSYS SERVICIOS DE PROCESAMIENTO, S.L.U. (“REDSYS”) and REDES Y PROCESOS, S.A. (“REDY”) was submitted to the National Competition Commission (CNC).  </w:t>
        <w:br/>
        <w:t xml:space="preserve">2. On August 19, 2010, the Directorate of Investigation requested the report provided for in Article 17.2.c) of Law 15/2007, of July 3, on Competition Defense (LDC), regarding the concentration operation. This report was received by the CNC on September 3, 2010.  </w:t>
        <w:br/>
        <w:t xml:space="preserve">3. In accordance with Article 57.1 of Law 15/2007, of July 3, on Competition Defense, the Directorate of Investigation formed a file and prepared the corresponding report on the operation along with a proposal for resolution that was submitted to the Council.  </w:t>
        <w:br/>
        <w:t>4. On October 13, 2010, the CNC Council issued a resolution in the first phase, agreeing to initiate the second phase of the procedure in accordance with Article 57.2.c) of the LDC, considering that the aforementioned concentration operation could hinder the maintenance of effective competition in some of the considered markets.</w:t>
      </w:r>
    </w:p>
    <w:p>
      <w:r>
        <w:t xml:space="preserve">5. The Directorate of Investigation has instructed the procedure in the second phase in accordance with the provisions of Articles 58, 59, and 37 of Law 15/2007.  </w:t>
        <w:br/>
        <w:t xml:space="preserve">6. On October 21, 2010, pursuant to Article 58.1 of the LDC, the DI prepared a succinct note which, once the confidential aspects were resolved, was sent to the Consumer and User Council and published on the CNC website, so that any affected party could provide information within a ten-day period. On November 30, 2010, the Consumer and User Council sent a response to the succinct note received from the Directorate of Investigation.  </w:t>
        <w:br/>
        <w:t xml:space="preserve">7. According to the provisions of Article 66.3 of the Competition Defense Regulation, approved by Royal Decree 261/2008, of February 22, the CNC Council resolved to accept the participation as interested parties of ANGED, CEC, AVAD, and EURO 6000.  </w:t>
        <w:br/>
        <w:t xml:space="preserve">8. On November 24, 2010, the notifying parties submitted, pursuant to the provisions of Article 59 of the LDC, certain commitments to resolve the obstacles to the maintenance of effective competition arising from the notified concentration operation.  </w:t>
        <w:br/>
        <w:t xml:space="preserve">9. On December 13, 2010, the Directorate of Investigation, in accordance with the provisions of Article 55.5 of the LDC, agreed to request the notifying parties to modify the commitments presented on November 24, 2010, as they were, as a whole, insufficient to eliminate the obstacles to competition arising from the notified operation. On December 22, 2010, the notifying parties requested an extension of the deadline, which was granted by the DI.  </w:t>
        <w:br/>
        <w:t xml:space="preserve">10. On December 29, 2010, the representative of REDSYS and REDY submitted two documents in response to certain questions raised by the Directorate of Investigation in its document of December 13, 2010.  </w:t>
        <w:br/>
        <w:t xml:space="preserve">11. On January 3, 2011, a modified proposal of commitments was submitted to the Directorate of Investigation. This proposal was communicated to the interested parties on January 5, 2011.  </w:t>
        <w:br/>
        <w:t xml:space="preserve">12. After considering the allegations presented by the third parties, on January 28, 2011, the notifying parties submitted a new proposal of commitments that incorporated some of the proposals provided by them.  </w:t>
        <w:br/>
        <w:t xml:space="preserve">13. On February 16, 2011, the Directorate of Investigation agreed to request the notifying parties to modify the commitments presented on January 28, 2011, as they continued to be, as a whole, insufficient to eliminate the detected obstacles to competition.  </w:t>
        <w:br/>
        <w:t>14. On February 21, 2011, the representative of REDSYS and REDY requested an extension of the granted deadline to submit a modification of the commitments, which was granted by the Directorate of Investigation.</w:t>
      </w:r>
    </w:p>
    <w:p>
      <w:r>
        <w:t xml:space="preserve">15. On March 4, 2011, the new proposal of commitments was submitted to the Directorate of Investigation.  </w:t>
        <w:br/>
        <w:t xml:space="preserve">16. On March 8, 2011, the Directorate of Investigation submitted to the Council a Report on the operation and proposal for a definitive resolution, as provided in Article 58.4 of Law 15/200, in which it proposes to condition the authorization of the concentration on the fulfillment of the commitments proposed by the notifying parties that were submitted to the CNC on March 4, 2011.  </w:t>
        <w:br/>
        <w:t xml:space="preserve">17. Taking into account the suspensions of the deadline agreed upon by the Directorate of Investigation throughout the processing of the file, in accordance with Article 37.1.b) of Law 15/2007, and the extension of the deadline provided in Article 59.2 of the same Law as a consequence of the submission of commitments, the deadline for resolving this file in the second phase is March 14, 2011, inclusive.  </w:t>
        <w:br/>
        <w:t>18. The Council of the National Competition Commission deliberated on this file in various sessions and adopted this Resolution in its meeting of March 9, 2011.</w:t>
      </w:r>
    </w:p>
    <w:p>
      <w:r>
        <w:t xml:space="preserve">LEGAL GROUNDS  </w:t>
        <w:br/>
        <w:t xml:space="preserve">First.- In accordance with Article 58.4 of Law 15/2007, based on the proposal for a definitive resolution of the Directorate of Investigation, the Council of the National Competition Commission, in the second phase, will adopt the final decision through a resolution, in which it may: a) Authorize the concentration; b) Condition the authorization of the concentration on the fulfillment of certain commitments proposed by the notifying parties or conditions; c) Prohibit the concentration; and d) Agree to archive the proceedings in the cases provided for in the Law.  </w:t>
        <w:br/>
        <w:t>Second.- In accordance with the provisions of Article 59 of Law 15/2007, the companies REDSYS SERVICIOS DE PROCESAMIENTO, S.L.U. (“REDSYS”) and REDES Y PROCESOS, S.A. (“REDY”), have proposed commitments, the definitive version of which was received by the CNC on March 4, 2011, the full text of which is included as Annex 1 of the Report and Proposal to the Council of the Directorate of Investigation.</w:t>
      </w:r>
    </w:p>
    <w:p>
      <w:r>
        <w:t xml:space="preserve">In compliance with the provisions of Article 69.7 of the Competition Defense Regulation (RDC), approved by Royal Decree 261/2008, of February 22, this final proposal of commitments has been included by the DI in point XI 2 of its Proposal for Resolution to the Council in the terms that are transcribed below:  </w:t>
        <w:br/>
        <w:t xml:space="preserve">“XI.2. Definitive commitments  </w:t>
        <w:br/>
        <w:t>(180) The full text of the commitments presented by REDSYS and REDY on March 4, 2011, within the framework of the operation is attached in Annex 1 of this report and forms an integral part of it.</w:t>
      </w:r>
    </w:p>
    <w:p>
      <w:r>
        <w:rPr>
          <w:b/>
        </w:rPr>
        <w:t>[Pages 4–6]</w:t>
      </w:r>
    </w:p>
    <w:p>
      <w:r>
        <w:t>(181) The commitments address the risks to effective competition that would result from the proposed operation and have been identified by the Directorate of Investigation.</w:t>
      </w:r>
    </w:p>
    <w:p>
      <w:r>
        <w:t>(182) Given the high market power that the entity resulting from the merger will enjoy, the parties commit that REDSYS will be an open provider offering processing services to any payment service provider contemplated in Article 4 of Law 16/2009, of November 13, on payment services, as well as to any other entity that demands them, without any exclusion or discrimination (section A of the commitments).</w:t>
      </w:r>
    </w:p>
    <w:p>
      <w:r>
        <w:t>(183) For these purposes, the parties commit that the acquisition of new clients will be in accordance with criteria of loyalty and competitiveness and with full respect for the market rules and will not establish unjustified measures to prevent the exit of clients that are part of their portfolio, allowing them to cancel the contractual relationship that binds them with three months' notice and without any penalty (section E of the commitments).</w:t>
      </w:r>
    </w:p>
    <w:p>
      <w:r>
        <w:t>(184) In relation to the rates of the merged entity and the risk identified by the Directorate of Investigation that, since the pricing scheme that the merged entity will apply is unknown, these may be excessive or discriminatory with respect to non-shareholder clients or with respect to non-promoter shareholders of the operation, the parties commit (section B of the commitments) that the resulting entity will maintain a single service fee for all clients. This fee will be applied without discrimination to all clients of the entity, whether or not they are shareholders of the same and/or current clients of the merging entities, depending exclusively on the portfolio and levels of contracted services and the volume of processing.</w:t>
      </w:r>
    </w:p>
    <w:p>
      <w:r>
        <w:t>(185) The notifying parties commit that the single fee system will be based on the application of competitive prices based on the principle of no worsening of the current situation, according to which no client currently receiving processing services will have prices higher than those currently applied for the same services after the integration.</w:t>
      </w:r>
    </w:p>
    <w:p>
      <w:r>
        <w:t>(186) For these purposes, the parties have detailed the basic principles of the pricing scheme that the resulting entity will adopt: transfer of efficiencies, volume discounts, non-discrimination, transparency, and flexibility.</w:t>
      </w:r>
    </w:p>
    <w:p>
      <w:r>
        <w:t>(187) Regarding the transparency of the rates, the parties assume that the CNC may convey information about rates to third parties, in order to ensure the effective compliance with the commitments of fairness and non-discrimination of rates as well as to verify the transfer of efficiencies.</w:t>
      </w:r>
    </w:p>
    <w:p>
      <w:r>
        <w:t>(188) Regarding the approval timelines for the rates of the merged entity, the parties commit to communicate the pricing structure to the CNC no later than six months after the execution of the operation, as well as the complete fee within a period of nine months.</w:t>
      </w:r>
    </w:p>
    <w:p>
      <w:r>
        <w:t>(189) Regarding the technical standards and procedures, the notifying parties commit not to unilaterally intervene in the processes of definition, updating, or modification of the standards and technical procedures that have been allowing interoperability among all members of the payment chain to exclude or hinder their activity in the market (section F).</w:t>
      </w:r>
    </w:p>
    <w:p>
      <w:r>
        <w:t>(190) Likewise, the merged entity commits to adhere to any standard issued by any international standard-setting body that is applicable in any of the phases of the payment chain.</w:t>
      </w:r>
    </w:p>
    <w:p>
      <w:r>
        <w:t>(191) Regarding the risks that, through the merged entity, information exchanges between the SERVIRED and 4B payment systems could occur with anti-competitive effects, the parties commit that the merged entity will not provide disaggregated information to its Board of Directors (excluding the Chairman-CEO) nor to its shareholder entities and/or clients (section D of the commitments).</w:t>
      </w:r>
    </w:p>
    <w:p>
      <w:r>
        <w:t>(192) In particular, the parties commit that their Board of Directors will not have access to certain particularly sensitive information of clients in a disaggregated manner, considering for these purposes that which is referred to in the European Commission Guidelines on the applicability of Article 101 of the Treaty on the Functioning of the European Union to horizontal cooperation agreements (published in the OJEU C 11/01 of January 14, 2011).</w:t>
      </w:r>
    </w:p>
    <w:p>
      <w:r>
        <w:t>(193) Regarding the risk of coordination that may arise from the participation of members of the governing bodies of SERVIRED and 4B in the governing bodies of REDSYS and in order to ensure the strictest separation between the management of the processing entity and the payment systems and thus reduce the risk that information exchanges occur between these schemes through the merged entity, the parties commit that the governing bodies of REDSYS will not contain any member or representative, including current and future Directors and Chairpersons of the Board, from the SERVIRED or 4B schemes or any other international payment system.</w:t>
      </w:r>
    </w:p>
    <w:p>
      <w:r>
        <w:t>(194) Likewise, the parties commit that the Chairmanship of the Board of Directors will correspond to a professional not employed by, nor otherwise directly or indirectly linked to, any of the shareholder financial entities or payment schemes. This professional, who will also hold the General Management of the entity, will directly assume the negotiation of conditions with clients within the guidelines approved by the Board of Directors and will ensure the confidentiality of the commercial information of clients, which will not be conveyed to the Board except in a completely aggregated manner (section G of the commitments). For these purposes, the General Director will sign a confidentiality agreement.</w:t>
      </w:r>
    </w:p>
    <w:p>
      <w:r>
        <w:t>(195) Regarding the efficiencies resulting from the merger, the parties commit to pass them on to clients through the introduction of better products and services and lower prices, specifying that no less than 30% of the amount of the efficiencies will be passed on via lower prices, thus reducing the rates applied by the entity (section C of the commitments).</w:t>
      </w:r>
    </w:p>
    <w:p>
      <w:r>
        <w:t>(196) For the purpose of monitoring compliance with the commitments made by the parties, they commit to hire an external auditor who is organizationally independent from REDSYS. For these purposes, section H of the commitments outlines the requirements that the auditor must meet, the procedure for their designation, appointment, and replacement, and the functions and obligations they will assume.</w:t>
      </w:r>
    </w:p>
    <w:p>
      <w:r>
        <w:t>(197) In order to facilitate the execution of all the above, within a maximum period of 15 working days from the entry into force of the Resolution of the CNC Council, the notifying parties will present a detailed action plan for approval by the CNC.</w:t>
      </w:r>
    </w:p>
    <w:p>
      <w:r>
        <w:t>(198) These commitments will have an initial duration of 3 years, after which the CNC will assess whether a relevant modification has occurred in the structure or regulation of the considered markets, justifying their maintenance or adjustment for an additional period of two years or their elimination. The parties may request a motivated review or elimination of the same.”</w:t>
      </w:r>
    </w:p>
    <w:p>
      <w:r>
        <w:t>The Directorate of Investigation, after evaluating the previous commitments, in its Proposal to the Council concludes that the set of commitments presented by REDSYS and REDY on March 4, 2011, is sufficient and proportionate to compensate for the problems of hindering effective competition arising from the concentration operation described in the Report, and, in accordance with Article 58.4.b) of Law 15/2007, of July 3, on the Defense of Competition, proposes to the Council the authorization of the concentration conditioned upon the fulfillment of the commitments presented by REDSYS and REDY before the National Competition Commission on March 4, 2011.</w:t>
      </w:r>
    </w:p>
    <w:p>
      <w:r>
        <w:rPr>
          <w:b/>
        </w:rPr>
        <w:t>[Pages 7–8]</w:t>
      </w:r>
    </w:p>
    <w:p>
      <w:r>
        <w:t>Third.- The Council of the CNC, having reviewed the processed file and analyzed the report on the operation, agrees with the assessment made by the Directorate of Investigation regarding the notified operation, as well as with the Proposal for Resolution submitted to the Council, since it coincides with the DI in that the set of commitments proposed by REDSYS and REDY are sufficient and proportionate to eliminate the risks of hindering effective competition arising from the concentration operation outlined in section X of the report.</w:t>
      </w:r>
    </w:p>
    <w:p>
      <w:r>
        <w:t>Fourth.- The notifying parties, within 15 business days after the effective entry into force of this Resolution, in order to facilitate the execution of the commitments undertaken, shall submit the Detailed Action Plan to which they have committed (the "Action Plan") for approval by the CNC.</w:t>
      </w:r>
    </w:p>
    <w:p>
      <w:r>
        <w:t>Fifth.- The commitments shall have an initial duration of 3 years, which may be extended for an additional period of two years if, in the opinion of the CNC, after that period, there has not been a significant change in the structure or regulation of the considered markets that justifies their removal.</w:t>
      </w:r>
    </w:p>
    <w:p>
      <w:r>
        <w:t>Sixth.- In accordance with the provisions of article 58.6 of Law 15/2007, this Resolution shall be enforceable when any of the circumstances provided for in that article are met.</w:t>
      </w:r>
    </w:p>
    <w:p>
      <w:r>
        <w:t>Seventh.- Non-compliance with the provisions of this Resolution shall be considered a very serious infringement as provided in article 62.4.c) of Law 15/2007.</w:t>
      </w:r>
    </w:p>
    <w:p>
      <w:r>
        <w:t>For all of which, having regard to the cited legal provisions and those of general application, the Council of the National Competition Commission,</w:t>
      </w:r>
    </w:p>
    <w:p>
      <w:r>
        <w:t>HAS RESOLVED</w:t>
      </w:r>
    </w:p>
    <w:p>
      <w:r>
        <w:t>FIRST.- To apply article 58.4.b) of Law 15/2007 to subordinate the authorization of concentration C-0271/10. REDSYS/REDY to the fulfillment of the commitments proposed by the notifier which, as Annex 1, are an integral part of the Report submitted to the Council by the Directorate of Investigation.</w:t>
      </w:r>
    </w:p>
    <w:p>
      <w:r>
        <w:t>SECOND.- To grant REDSYS/REDY a period of 15 days from the date on which the Resolution becomes enforceable to present a detailed action plan for the implementation of the commitments.</w:t>
      </w:r>
    </w:p>
    <w:p>
      <w:r>
        <w:t>Within a maximum period of one month from its receipt, said plan must be approved by the CNC, which may introduce any modifications it deems appropriate for the proper fulfillment of the commitments adopted in this Resolution.</w:t>
      </w:r>
    </w:p>
    <w:p>
      <w:r>
        <w:t>THIRD.- To establish an initial duration of the commitments of three years from the approval of the Action Plan, extendable for another two if the market circumstances that made them necessary do not substantially change.</w:t>
      </w:r>
    </w:p>
    <w:p>
      <w:r>
        <w:t>FOURTH.- To urge REDSYS/REDY to comply with the provisions of this Resolution. Non-compliance with the same shall be considered a very serious infringement in accordance with article 62 of Law 15/2007, which may result in the sanctions provided for in articles 63 and 67 of the same.</w:t>
      </w:r>
    </w:p>
    <w:p>
      <w:r>
        <w:t>FIFTH.- By virtue of the provisions of article 35.2.c) of Law 15/2007, the supervision of this Resolution is entrusted to the Directorate of Investigation.</w:t>
      </w:r>
    </w:p>
    <w:p>
      <w:r>
        <w:t>This Resolution shall be communicated to the Directorate of Investigation of the National Competition Commission and to the Minister of Economy and Finance, as provided in article 58.5 of Law 15/2007. Likewise, it shall be notified to the interested parties, informing them that this Resolution shall not be effective, nor enforceable, nor shall it terminate the administrative procedure unless one of the two circumstances provided for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