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https://www.cnmc.es/expedientes/c027210</w:t>
      </w:r>
    </w:p>
    <w:p>
      <w:r>
        <w:t>Pages translated : 18</w:t>
      </w:r>
    </w:p>
    <w:p/>
    <w:p>
      <w:r>
        <w:rPr>
          <w:b/>
        </w:rPr>
        <w:t>[Pages 1–3]</w:t>
      </w:r>
    </w:p>
    <w:p>
      <w:r>
        <w:t xml:space="preserve">DIRECTORATE OF INVESTIGATION  </w:t>
        <w:br/>
        <w:t xml:space="preserve">REPORT AND PROPOSAL FOR RESOLUTION  </w:t>
        <w:br/>
        <w:t xml:space="preserve">C - 0272/10 MAPFRE - CAIXA CATALUNYA, TARRAGONA I MANRESA /  </w:t>
        <w:br/>
        <w:t xml:space="preserve">ASCAT VIDA - ASCAT SEGUROS GENERALES - CAIXA TARRAGONA VIDA -  </w:t>
        <w:br/>
        <w:t>CAIXA MANRESA VIDA</w:t>
      </w:r>
    </w:p>
    <w:p>
      <w:r>
        <w:t xml:space="preserve">I. BACKGROUND  </w:t>
        <w:br/>
        <w:t xml:space="preserve">(1) On August 25, 2010, a notification regarding the joint control by MAPFRE VIDA SOCIEDAD ANÓNIMA DE SEGUROS Y REASEGUROS SOBRE LA VIDA HUMANA (“MAPFRE VIDA”), MAPFRE FAMILIAR COMPAÑÍA DE SEGUROS Y REASEGUROS, S.A. (“MAPFRE FAMILIAR” and both, “MAPFRE”) on one part and CAIXA D´ESTALVIS DE CATALUNYA, TARRAGONA I MANRESA (“CAIXA CATALUNYA, TARRAGONA I MANRESA”), on the other, of the insurers ASCAT VIDA, S.A. (ASCAT VIDA), ASCAT SEGUROS GENERALES, S.A. DE SEGUROS Y REASEGUROS (“ASCAT SEGUROS GENERALES”), CAIXA TARRAGONA VIDA, S.A. D’ASSEGURANCES I REASSEGURANCES (“CAIXA TARRAGONA VIDA”) and CAIXA MANRESA VIDA, S.A. COMPANYIA D’ASSEGURANCES (“CAIXA MANRESA VIDA”) has been received by the National Competition Commission (CNC).  </w:t>
        <w:br/>
        <w:t xml:space="preserve">(2) This notification has been made by MAPFRE and CAIXA CATALUNYA, TARRAGONA I MANRESA, as established in Article 9 of Law 15/2007, of July 3, on the Defense of Competition, for exceeding the threshold established in Article 8.1 b). This operation is subject to the provisions of Royal Decree 261/2008, of February 22, which approves the Regulation on the Defense of Competition.  </w:t>
        <w:br/>
        <w:t xml:space="preserve">(3) 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w:t>
        <w:br/>
        <w:t xml:space="preserve">(4) Likewise, Article 38.2 of Law 15/2007 adds: "The passage of the maximum period established in Article 36.2.a) of this Law for the resolution in the first phase of control of concentrations will determine the estimation of the corresponding request by administrative silence, except in the cases provided for in Articles 9.5, 55.5 and 57.2.d) of this Law."  </w:t>
        <w:br/>
        <w:t>(5) According to the above, the deadline to agree to initiate the second phase of the procedure is September 25, 2010, inclusive. After this date, the notified operation will be considered tacitly authorized.</w:t>
      </w:r>
    </w:p>
    <w:p>
      <w:r>
        <w:t xml:space="preserve">DIRECTORATE OF INVESTIGATION  </w:t>
        <w:br/>
        <w:t xml:space="preserve">II. NATURE OF THE OPERATION  </w:t>
        <w:br/>
        <w:t xml:space="preserve">(6) The concentration operation consists of the transfer of exclusive control of ASCAT VIDA, ASCAT SEGUROS GENERALES, CAIXA TARRAGONA VIDA and CAIXA MANRESA VIDA by CAIXA CATALUNYA, TARRAGONA I MANRESA, universal successor of CAIXA D`ESTALVIS DE CATALUNYA, CAIXA D`ESTALVIS DE TARRAGONA and CAIXA D`ESTALVIS DE MANRESA1 to its joint control with MAPFRE, as defined in the competition defense regulations.  </w:t>
        <w:br/>
        <w:t xml:space="preserve">(7) For these purposes, […]2, MAPFRE and CAIXA CATALUNYA signed a share purchase agreement, which regulated the transfer […] of the shares representing the share capital of ASCAT VIDA and ASCAT SEGUROS GENERALES, 100% subsidiaries of CAIXA CATALUNYA, to MAPFRE, as well as a shareholders' agreement to regulate the relationships between the parent companies3 within those joint ventures. This shareholders' agreement provided for the automatic extension without the need for subsequent additional agreement to the insurers of CAIXA TARRAGONA and CAIXA MANRESA once the merger of the three Catalan savings banks became effective.  </w:t>
        <w:br/>
        <w:t xml:space="preserve">(8) Concurrently with the share purchase agreement of […] and on that same date, the parties signed various agency agreements for the distribution of insurance, marketing of pension plans, and provision of services.  </w:t>
        <w:br/>
        <w:t xml:space="preserve">(9) On […], CAIXA TARRAGONA and CAIXA MANRESA signed with MAPFRE respective purchase agreements regarding the acquisition by MAPFRE of […] of the shares representing the share capitals of CAIXA TARRAGONA VIDA and CAIXA MANRESA VIDA, respectively.  </w:t>
        <w:br/>
        <w:t xml:space="preserve">(10) On July 1, 2010, the merger between the three Catalan savings banks became effective.  </w:t>
        <w:br/>
        <w:t xml:space="preserve">Joint Control  </w:t>
        <w:br/>
        <w:t xml:space="preserve">(11) The shareholders' agreement that regulates the relationships between MAPFRE and CAIXA CATALUNYA, TARRAGONA I MANRESA within the four involved insurers4 provides that they will be governed by a Board of Directors composed of […] appointed by MAPFRE and […] by CAIXA CATALUNYA, TARRAGONA I MANRESA.  </w:t>
        <w:br/>
        <w:t xml:space="preserve">1 CAIXA CATALUNYA, TARRAGONA I MANRESA is the entity resulting from the merger of CAIXA D`ESTALVIS DE CATALUNYA (“CAIXA CATALUNYA”), CAIXA D`ESTALVIS DE TARRAGONA (“CAIXA TARRAGONA”) and CAIXA D`ESTALVIS DE MANRESA (“CAIXA MANRESA”).  </w:t>
        <w:br/>
        <w:t xml:space="preserve">2 Parts of the report whose exact content has been declared confidential are inserted in brackets.  </w:t>
        <w:br/>
        <w:t xml:space="preserve">3 At that time, MAPFRE and CAIXA CATALUNYA, although the contract itself establishes that once the merger is effective, all references to CAIXA CATALUNYA will be understood as made in the name of the entity resulting from the merger: CAIXA CATALUNYA, TARRAGONA I MANRESA.  </w:t>
        <w:br/>
        <w:t>4 In any case, the parties have provided that […].</w:t>
      </w:r>
    </w:p>
    <w:p>
      <w:r>
        <w:t xml:space="preserve">DIRECTORATE OF INVESTIGATION  </w:t>
        <w:br/>
        <w:t xml:space="preserve">(12) The decisions of said entities shall be adopted by […] of the attending or represented directors, provided that the sessions are validly constituted with the attendance of more than […] of the directors5. In the event of a tie, the vote of the President, appointed by MAPFRE, shall be decisive.  </w:t>
        <w:br/>
        <w:t xml:space="preserve">(13) Regarding the adoption of resolutions on certain matters6, which do not include aspects related to the competitive strategy of the companies or their ordinary management, they shall be adopted with the favorable vote of […] directors (or of […] of the members of the Board, if the number of directors is greater [...]).  </w:t>
        <w:br/>
        <w:t xml:space="preserve">(14) As for the General Meeting of the entities, it shall be validly constituted when [...] of the share capital is present and shall adopt its agreements by […] of the capital present or represented. For certain matters7, the quorum for attendance shall be [...] of the share capital with voting rights in the first call and [...] in the second call, and the majority required for the adoption of agreements shall be [...] of the share capital present or duly represented.  </w:t>
        <w:br/>
        <w:t xml:space="preserve">(15) Regarding the appointment of senior executives, it should be noted that the General Director of the insurance entities will be appointed by [...].  </w:t>
        <w:br/>
        <w:t xml:space="preserve">(16) As for the business plan, [...].  </w:t>
        <w:br/>
        <w:t xml:space="preserve">(17) The notifying parties indicate, notwithstanding the provisions of the shareholders' agreement, that the business plans [...] do not provide information on the measures that must be taken to achieve the companies' objectives, therefore, in accordance with the provisions of the Communication on Jurisdictional Issues, they are not sufficient to confer joint control.  </w:t>
        <w:br/>
        <w:t xml:space="preserve">(18) On the other hand, the parties commit to […]  </w:t>
        <w:br/>
        <w:t xml:space="preserve">(19) Finally, clause 13 provides that CAIXA CATALUNYA, TARRAGONA I MANRESA [...].  </w:t>
        <w:br/>
        <w:t xml:space="preserve">(20) Based on the overall assessment of the above elements, this Directorate of Investigation concludes that, as a result of the operation, MAPFRE and CAIXA CATALUNYA, TARRAGONA I MANRESA will exercise joint control over the insurance entities.  </w:t>
        <w:br/>
        <w:t xml:space="preserve">5 The General Director of the insurance entities will be appointed by [...].  </w:t>
        <w:br/>
        <w:t xml:space="preserve">6 Among which are […]  </w:t>
        <w:br/>
        <w:t>7 […]</w:t>
      </w:r>
    </w:p>
    <w:p>
      <w:r>
        <w:rPr>
          <w:b/>
        </w:rPr>
        <w:t>[Pages 4–6]</w:t>
      </w:r>
    </w:p>
    <w:p>
      <w:r>
        <w:t>DIRECTORATE OF INVESTIGATION</w:t>
      </w:r>
    </w:p>
    <w:p>
      <w:r>
        <w:t>Full Functions</w:t>
      </w:r>
    </w:p>
    <w:p>
      <w:r>
        <w:t>(21) Article 7.1.c) of the LDC establishes that the creation of a joint venture or, in general, the acquisition of joint control over one or more companies, when these perform the functions of an autonomous economic entity on a permanent basis, shall constitute an economic concentration subject to concentration control.</w:t>
      </w:r>
    </w:p>
    <w:p>
      <w:r>
        <w:t>(22) The consolidated Communication of the Commission on jurisdictional issues in competition matters (2008/C 95/01) establishes, in general terms, that "being a company with full functions essentially means that the joint venture must be able to operate in a market and perform all the functions normally carried out by companies present in that market. To this end, the joint venture must have management dedicated to daily operations and access to sufficient financial, human, and material (both tangible and intangible) resources to carry out business activities durably within the scope provided in the agreement governing the joint venture."</w:t>
      </w:r>
    </w:p>
    <w:p>
      <w:r>
        <w:t>(23) ASCAT VIDA, CAIXA TARRAGONA VIDA, CAIXA MANRESA VIDA, and ASCAT SEGUROS GENERALES are active insurance companies, the first three in the life insurance sector and in the management of pension funds and plans, and the last one in non-life insurance. Each of them will have its own governing bodies, financial resources, materials, and personnel to carry out its business activities independently of their parent companies.</w:t>
      </w:r>
    </w:p>
    <w:p>
      <w:r>
        <w:t>(24) The fact that these entities will offer their insurance products using the distribution network of one of their parent companies, CAIXA CATALUNYA, TARRAGONA I MANRESA, does not entail the loss of their status as fully capable companies to operate in the market with operational independence, as indicated in paragraph 95 of the consolidated Communication of the Commission on jurisdictional issues, since CAIXA CATALUNYA, TARRAGONA I MANRESA acts for these purposes as an insurance agent and as a distributor of pension plans of these joint venture companies.</w:t>
      </w:r>
    </w:p>
    <w:p>
      <w:r>
        <w:t>(25) Furthermore, the provision of certain advisory and technical assistance services by MAPFRE will not diminish their status as autonomous companies, given that it will be the joint venture companies themselves that determine, through their management and administrative bodies, the design of their products, prices, and characteristics, and that will assume the risk of decisions regarding the business.</w:t>
      </w:r>
    </w:p>
    <w:p>
      <w:r>
        <w:t>(26) These support agreements in distribution and advisory services provided by the parent companies to the joint venture companies are common in the context of bancassurance operations between financial entities and insurers.</w:t>
      </w:r>
    </w:p>
    <w:p>
      <w:r>
        <w:t>(27) For all the above reasons and following national and community precedents in this sector, it can be concluded that the joint venture companies meet the criteria of companies with full functions referred to in Article 7.1.c) of the LDC, in relation to the concept of acquiring joint control of a company.</w:t>
      </w:r>
    </w:p>
    <w:p>
      <w:r>
        <w:t>(28) The operation is therefore included in the assumption of Article 7.1 c) of the LDC.</w:t>
      </w:r>
    </w:p>
    <w:p>
      <w:r>
        <w:t>Vertical Relationships</w:t>
      </w:r>
    </w:p>
    <w:p>
      <w:r>
        <w:t>(29) The notified operation is established within the framework of an alliance signed between MAPFRE and CAIXA CATALUNYA, TARRAGONA I MANRESA for the exclusive production and distribution throughout the national territory under a bancassurance regime of life and accident insurance, pension plans and funds, and various insurance products of ASCAT VIDA, ASCAT SEGUROS GENERALES, CAIXA TARRAGONA VIDA, and CAIXA MANRESA VIDA through the network of CAIXA CATALUNYA, TARRAGONA I MANRESA.</w:t>
      </w:r>
    </w:p>
    <w:p>
      <w:r>
        <w:t>(30) In execution of this alliance, the parties have signed several contracts, as previously mentioned, specifically four agency contracts for the distribution of insurance, three collaboration contracts for the marketing of pension plans, and four service provision contracts for management and administration.</w:t>
      </w:r>
    </w:p>
    <w:p>
      <w:r>
        <w:t>(31) The agency contracts for the distribution of insurance and collaboration contracts for the marketing of pension plans provide that CAIXA CATALUNYA, TARRAGONA I MANRESA will provide mediation services to the insurers, on an exclusive basis, for life and accident insurance, pension plans and funds, and various insurance products that these insurers will offer.</w:t>
      </w:r>
    </w:p>
    <w:p>
      <w:r>
        <w:t>(32) Furthermore, stipulation 7.1 of the shareholders' agreement establishes that CAIXA CATALUNYA, TARRAGONA I MANRESA commits to exclusively distribute through its network the life and accident insurance, pension plans and funds, and various insurance products of the insurance companies and/or MAPFRE, except for certain exceptions provided in the shareholders' agreement.</w:t>
      </w:r>
    </w:p>
    <w:p>
      <w:r>
        <w:t>(33) Thus, the contractual provisions on insurance distribution and marketing of pension plans include vertical restrictions of non-competition or single branding (exclusive purchase). However, even though MAPFRE is one of the main insurance groups in the national market, the sum of the market shares of the suppliers (the insurance companies and MAPFRE) is substantially below 30% and the number of competing insurers is high. On the other hand, the relatively low importance of the sales or distribution points of CAIXA CATALUNYA, TARRAGONA I MANRESA both in its area of influence (Catalonia) and in Spain as a whole in the bancassurance channel, and the existence of alternative distribution channels to bank offices for life and accident insurance products, pension plans and funds, and various insurance products make it unlikely that these non-competition or single branding agreements will result in a market foreclosure for competitors.</w:t>
      </w:r>
    </w:p>
    <w:p>
      <w:r>
        <w:t>(34) Finally, the execution of the operation is conditioned upon its authorization by the DGSFP and by the Spanish competition authority.</w:t>
      </w:r>
    </w:p>
    <w:p>
      <w:r>
        <w:t>III. APPLICABILITY OF LAW 15/2007 ON COMPETITION DEFENSE</w:t>
      </w:r>
    </w:p>
    <w:p>
      <w:r>
        <w:t>(35) According to the notifying party, the operation does not fall within the scope of Regulation (EC) No. 139/2004 of the Council, of January 20, on the control of concentrations between companies, since although the thresholds of Article 1.2 of the Regulation are exceeded, the parties to the operation obtain more than two-thirds of their community turnover in Spain.</w:t>
      </w:r>
    </w:p>
    <w:p>
      <w:r>
        <w:t>(36) The notified operation, however, meets the requirements set forth by Law 15/2007 for its notification, as the threshold established in Article 8.1 b) of the same is exceeded.</w:t>
      </w:r>
    </w:p>
    <w:p>
      <w:r>
        <w:t>IV. ANCILLARY RESTRICTIONS</w:t>
      </w:r>
    </w:p>
    <w:p>
      <w:r>
        <w:t>(37) Clause 7.7 of the shareholders' agreement includes MAPFRE's commitment not to establish, during its validity, any other analogous strategic agreement with CAIXA CATALUNYA, TARRAGONA I MANRESA with any credit entity whose territorial scope of operations...</w:t>
      </w:r>
    </w:p>
    <w:p>
      <w:r>
        <w:rPr>
          <w:b/>
        </w:rPr>
        <w:t>[Pages 7–9]</w:t>
      </w:r>
    </w:p>
    <w:p>
      <w:r>
        <w:t>DIRECTORATE OF INVESTIGATION</w:t>
      </w:r>
    </w:p>
    <w:p>
      <w:r>
        <w:t>(38) Section 3 of Article 10 of Law 15/2007 establishes that "certain ancillary restrictions to competition, directly linked to the operation and necessary for its implementation, may be understood to be included."</w:t>
      </w:r>
    </w:p>
    <w:p>
      <w:r>
        <w:t>(39) This Directorate of Investigation considers that the commitment undertaken by MAPFRE is not closely linked to the concentration operation nor is it necessary for its implementation.</w:t>
      </w:r>
    </w:p>
    <w:p>
      <w:r>
        <w:t>(40) Consequently, taking into account national and community precedents, as well as the Commission's Communication on restrictions directly linked to the implementation of a concentration and necessary for that purpose (2005/C 56/03), this Directorate of Investigation considers that the content of the commitment undertaken by MAPFRE cannot be considered an ancillary restriction to the notified concentration operation.</w:t>
      </w:r>
    </w:p>
    <w:p>
      <w:r>
        <w:t>V. PARTICIPATING COMPANIES</w:t>
      </w:r>
    </w:p>
    <w:p>
      <w:r>
        <w:t>V.1. MAPFRE VIDA AND MAPFRE FAMILIAR</w:t>
      </w:r>
    </w:p>
    <w:p>
      <w:r>
        <w:t>(41) MAPFRE VIDA and MAPFRE FAMILIAR are Spanish companies belonging to the MAPFRE group, whose parent company MAPFRE, S.A. is a publicly traded company, with its main shareholder being FUNDACIÓN MAPFRE, which, through CARTERA MAPFRE S.L., holds 64.2% of its share capital.</w:t>
      </w:r>
    </w:p>
    <w:p>
      <w:r>
        <w:t>(42) The MAPFRE group is primarily active in the insurance sector, also engaging in financial activities (management of investment funds and pension funds and plans), real estate, and services.</w:t>
      </w:r>
    </w:p>
    <w:p>
      <w:r>
        <w:t>(43) In the insurance field, MAPFRE is active in all branches of insurance: life, non-life, and reinsurance. In life insurance and pension funds, the MAPFRE group channels its activity in Spain through MAPFRE VIDA and its subsidiaries, as well as through joint venture companies: CCM VIDA Y PENSIONES DE SEGUROS Y REASEGUROS S.A. (“CCMVP”), BANKINTER SEGUROS DE VIDA S.A. DE SEGUROS Y REASEGUROS (“BKSV”), UNIÓN DEL DUERO COMPAÑÍA DE SEGUROS DE VIDA, S.A. (“DUERO VIDA”) and DUERO PENSIONES ENTIDAD GESTORA DE FONDOS DE PENSIONES, S.A. (“DUERO PENSIONES”).</w:t>
      </w:r>
    </w:p>
    <w:p>
      <w:r>
        <w:t>(44) Simultaneously with the joint control acquisitions of CCMVP, BKSV, DUERO VIDA, and DUERO PENSIONES, MAPFRE entered into strategic alliances of indefinite duration with their parent companies (CCM, BANKINTER, and CAJA DUERO, respectively) for the joint development of the life insurance and pension plans business through the aforementioned joint ventures and their exclusive marketing through the branch networks of these banking entities.</w:t>
      </w:r>
    </w:p>
    <w:p>
      <w:r>
        <w:t>(45) MAPFRE also has a strategic alliance with CAJA MADRID, under which, among other aspects, the branch network of CAJA MADRID exclusively sells MAPFRE insurance products and, under the same conditions, the MAPFRE network sells banking products of CAJA MADRID.</w:t>
      </w:r>
    </w:p>
    <w:p>
      <w:r>
        <w:t>(46) As a result of these bancassurance agreements, MAPFRE markets [...] of its life insurance through the aforementioned banking entities.</w:t>
      </w:r>
    </w:p>
    <w:p>
      <w:r>
        <w:t>(47) The billing of the MAPFRE group in the last financial year, according to Article 5 of Royal Decree 261/2008, is, according to the notifier, as follows:</w:t>
      </w:r>
    </w:p>
    <w:p>
      <w:r>
        <w:t>MAPFRE TURNOVER (millions euros) 2009</w:t>
        <w:br/>
        <w:t>WORLD EU SPAIN</w:t>
        <w:br/>
        <w:t>[&gt;2,500] [&gt;250] [&gt;60]</w:t>
        <w:br/>
        <w:t>Source: Notification</w:t>
      </w:r>
    </w:p>
    <w:p>
      <w:r>
        <w:t>V.2. CAIXA CATALUNYA, TARRAGONA I MANRESA</w:t>
      </w:r>
    </w:p>
    <w:p>
      <w:r>
        <w:t>(48) CAIXA CATALUNYA, TARRAGONA I MANRESA is a financial institution of a social nature and foundation-based that is not controlled by any natural or legal person. It is the result of the recent merger of CAIXA CATALUNYA, CAIXA TARRAGONA, and CAIXA MANRESA, registered in the Savings Banks Register of Catalonia on July 1, 2010, and which began its activity on that same date.</w:t>
      </w:r>
    </w:p>
    <w:p>
      <w:r>
        <w:t>(49) CAIXA CATALUNYA, TARRAGONA I MANRESA primarily engages in retail banking activities and, to a lesser extent, investment banking, being the parent company of a group of companies that carry out activities related to banking, insurance, and real estate business.</w:t>
      </w:r>
    </w:p>
    <w:p>
      <w:r>
        <w:t>(50) The billing of CAIXA CATALUNYA, TARRAGONA I MANRESA in the last financial year, according to Article 5 of Royal Decree 261/2008, is, according to the notifier, as follows:</w:t>
      </w:r>
    </w:p>
    <w:p>
      <w:r>
        <w:t>CAIXA CATALUNYA, TARRAGONA I MANRESA TURNOVER* (millions euros) 2009</w:t>
        <w:br/>
        <w:t>WORLD EU SPAIN</w:t>
        <w:br/>
        <w:t>[&gt;2,500] [&gt;250] [&gt;60]</w:t>
        <w:br/>
        <w:t>Source: Notification</w:t>
        <w:br/>
        <w:t>*Calculated by summing the turnover of CAIXA CATALUNYA, CAIXA TARRAGONA, and CAIXA MANRESA, thus including the turnover of the insurers involved in the operation.</w:t>
      </w:r>
    </w:p>
    <w:p>
      <w:r>
        <w:t>V.3. ASCAT VIDA and ASCAT SEGUROS GENERALES</w:t>
      </w:r>
    </w:p>
    <w:p>
      <w:r>
        <w:t>(51) Insurance entities belonging to the CAIXA CATALUNYA group that are active respectively in the life branch and in the management of pension plans and funds (ASCAT VIDA) and in the non-life branch, mainly home insurance (ASCAT SEGUROS GENERALES).</w:t>
      </w:r>
    </w:p>
    <w:p>
      <w:r>
        <w:t>(52) The turnover of ASCAT VIDA and ASCAT SEGUROS GENERALES in the last financial year, according to Article 5 of Royal Decree 261/2008, amounted to [&gt;60] million euros.</w:t>
      </w:r>
    </w:p>
    <w:p>
      <w:r>
        <w:t>V.4. CAIXA TARRAGONA VIDA</w:t>
      </w:r>
    </w:p>
    <w:p>
      <w:r>
        <w:t>(53) Insurance entity belonging to the CAIXA TARRAGONA group that is active in the life branch and in the management of pension plans and funds.</w:t>
      </w:r>
    </w:p>
    <w:p>
      <w:r>
        <w:t>(54) The turnover of CAIXA TARRAGONA VIDA in the last financial year, according to Article 5 of Royal Decree 261/2008, amounted to [&lt;60] million euros.</w:t>
      </w:r>
    </w:p>
    <w:p>
      <w:r>
        <w:t>V.5. CAIXA MANRESA VIDA</w:t>
      </w:r>
    </w:p>
    <w:p>
      <w:r>
        <w:t>(55) Insurance entity belonging to the CAIXA MANRESA group that is active in life insurance and in the management of pension plans and funds.</w:t>
      </w:r>
    </w:p>
    <w:p>
      <w:r>
        <w:t>(56) The turnover of CAIXA MANRESA VIDA in the last financial year, according to Article 5 of Royal Decree 261/2008, amounted to [&lt;60] million euros.</w:t>
      </w:r>
    </w:p>
    <w:p>
      <w:r>
        <w:t>VI. MARKETS AFFECTED BY THE OPERATION</w:t>
      </w:r>
    </w:p>
    <w:p>
      <w:r>
        <w:t>VI.1 Product Market</w:t>
      </w:r>
    </w:p>
    <w:p>
      <w:r>
        <w:t>(57) The economic sector involved in the notified operation is that of insurance and social welfare.</w:t>
      </w:r>
    </w:p>
    <w:p>
      <w:r>
        <w:t>(58) Both Spanish and community competition authorities have distinguished three broad product markets in the...</w:t>
      </w:r>
    </w:p>
    <w:p>
      <w:r>
        <w:rPr>
          <w:b/>
        </w:rPr>
        <w:t>[Pages 10–12]</w:t>
      </w:r>
    </w:p>
    <w:p>
      <w:r>
        <w:t>DIRECTORATE OF INVESTIGATION</w:t>
      </w:r>
    </w:p>
    <w:p>
      <w:r>
        <w:t>sector of insurance: life insurance, non-life insurance, and reinsurance.</w:t>
      </w:r>
    </w:p>
    <w:p>
      <w:r>
        <w:t>(59) From the demand perspective, the markets for life and non-life insurance can be subdivided into as many product markets as there are risks covered, since the substitutability among them is null, due to the different characteristics, premiums, and purposes of each.</w:t>
      </w:r>
    </w:p>
    <w:p>
      <w:r>
        <w:t>(60) However, from the supply perspective, certain national23 and community24 precedents have indicated that the conditions offered by insurance companies for the different types of risks are very similar to each other, which, along with the fact that most insurers (especially large insurance companies) offer insurance for various types of risks, has led to the inclusion of various types of non-life insurance in the same product market. The same reasoning could be applied to life insurance. As for the reinsurance market, it constitutes a distinct market from life and non-life insurance, as its purpose is to distribute risk among insurers.</w:t>
      </w:r>
    </w:p>
    <w:p>
      <w:r>
        <w:t>(61) The activity of ASCAT VIDA, CAIXA TARRAGONA VIDA, and CAIXA MANRESA VIDA focuses on life insurance and the management of funds and pension plans, while ASCAT SEGUROS GENERALES is active in non-life insurance, areas in which MAPFRE is also present, so the analysis will focus on these insurance areas.</w:t>
      </w:r>
    </w:p>
    <w:p>
      <w:r>
        <w:t>(62) In general, life insurance covers risks that may affect human beings, specifically the existence of the person, whether in the form of death (risk life insurance) or survival (savings-retirement life insurance). Depending on the number of beneficiaries of the insurance, a distinction is made between individual and collective insurance.</w:t>
      </w:r>
    </w:p>
    <w:p>
      <w:r>
        <w:t>(63) Article 6 of Royal Legislative Decree 6/2004 of October 29, 2004, which approves the Consolidated Text of the Law on Regulation and Supervision of Private Insurance, establishes, in relation to direct life insurance, a single branch, that of life25.</w:t>
      </w:r>
    </w:p>
    <w:p>
      <w:r>
        <w:t>(64) Non-life insurance presents a great variety. Thus, Royal Legislative Decree 6/2004 distinguishes 19 categories of non-life insurance26.</w:t>
      </w:r>
    </w:p>
    <w:p>
      <w:r>
        <w:t>(65) Regarding pension plans and funds, whose management is reserved for pension fund management entities, they constitute a separate market from life insurance27, even though they cover similar risks (such as obtaining financial compensation at the time of retirement).</w:t>
      </w:r>
    </w:p>
    <w:p>
      <w:r>
        <w:t>(66) Pension plans are savings products that complement the general coverage of Social Security28. Unlike life insurance products, the possibility of recovering accumulated savings before retirement is very limited in pension plans. Finally, it is worth mentioning that, in general, pension plans benefit from tax advantages that do not apply to life insurance.</w:t>
      </w:r>
    </w:p>
    <w:p>
      <w:r>
        <w:t>(67) Thus, taking into account the activities of the parties and community and national precedents, this Directorate of Investigation will analyze the impact of the operation on the overall market for life insurance, non-life insurance, and the management of funds and pension plans. Information will also be provided on the different segments traditionally identified by competition authorities in the life insurance market (individual, collective, risk, and savings insurance) and in multi-risk home insurance, the only type of non-life insurance in which both ASCAT SEGUROS GENERALES and MAPFRE are active.</w:t>
      </w:r>
    </w:p>
    <w:p>
      <w:r>
        <w:t>VI.2 Geographic Market</w:t>
      </w:r>
    </w:p>
    <w:p>
      <w:r>
        <w:t>(68) Community and national precedents in this sector consider that, in the field of private insurance, the geographic market for life insurance, non-life insurance, and pension plans and funds is generally of a national nature due, among other reasons, to the different structures of national markets, the need for adequate distribution channels, tax limitations, and, in summary, the different regulations of each country, to which foreign insurance entities must adapt. However, the Commission appreciates a growing transnational activity.</w:t>
      </w:r>
    </w:p>
    <w:p>
      <w:r>
        <w:t>(69) In fact, there are certain markets with a significant transnational component, such as transport insurance that covers large risks.</w:t>
      </w:r>
    </w:p>
    <w:p>
      <w:r>
        <w:t>VII. MARKET ANALYSIS</w:t>
      </w:r>
    </w:p>
    <w:p>
      <w:r>
        <w:t>VII.1. Supply Structure</w:t>
      </w:r>
    </w:p>
    <w:p>
      <w:r>
        <w:t>VII.1.1. Life Insurance Market</w:t>
      </w:r>
    </w:p>
    <w:p>
      <w:r>
        <w:t>(70) The report from the Directorate General of Insurance and Pension Funds (DGSFP) corresponding to 2009 indicates that the number of operational entities registered in the administrative register of insurance entities in Spain as of December 31, 200 was 294, of which 292 were direct insurance entities (202 public limited companies, 34 mutuals, and 56 social welfare mutualities) and the remaining 2 were reinsurers.</w:t>
      </w:r>
    </w:p>
    <w:p>
      <w:r>
        <w:t>(71) The following table summarizes the structure of the Spanish life insurance market according to mathematical provisions, based on data provided by the notifier from ICEA29.</w:t>
      </w:r>
    </w:p>
    <w:p>
      <w:r>
        <w:t>SPANISH LIFE INSURANCE MARKET.</w:t>
        <w:br/>
        <w:t>According to mathematical provisions. 2009</w:t>
      </w:r>
    </w:p>
    <w:p>
      <w:r>
        <w:t>Entities Value (millions of euros) Share</w:t>
        <w:br/>
        <w:t>LA CAIXA […] [10-20%]</w:t>
        <w:br/>
        <w:t>MAPFRE […] [10-20%]</w:t>
        <w:br/>
        <w:t>SANTANDER […] [0-10%]</w:t>
        <w:br/>
        <w:t>ZURICH […] [0-10%]</w:t>
        <w:br/>
        <w:t>GENERALI […] [0-10%]</w:t>
        <w:br/>
        <w:t>AVIVA […] [0-10%]</w:t>
        <w:br/>
        <w:t>ASCAT VIDA […] [0-10%]</w:t>
        <w:br/>
        <w:t>CAIXA TARRAGONA VIDA […] [0-10%]</w:t>
        <w:br/>
        <w:t>CAIXA MANRESA VIDA […] [0-10%]</w:t>
        <w:br/>
        <w:t>Others […] [40-50%]</w:t>
        <w:br/>
        <w:t>Total […] 100%</w:t>
      </w:r>
    </w:p>
    <w:p>
      <w:r>
        <w:t>Source: Notification (data from ICEA).</w:t>
      </w:r>
    </w:p>
    <w:p>
      <w:r>
        <w:t>(72) In terms of premiums, another relevant magnitude used in the insurance market to determine the position of an operator, MAPFRE's share amounts to [0-10%] of the Spanish life insurance market, and the combined share of the three insurers active in this area is [0-10%] of the same30, according to data provided by the notifiers corresponding to 2009.</w:t>
      </w:r>
    </w:p>
    <w:p>
      <w:r>
        <w:t>(73) After the operation, MAPFRE will occupy the second position in the Spanish life insurance market, both in terms of total premiums, where it will reach a share of...</w:t>
      </w:r>
    </w:p>
    <w:p>
      <w:r>
        <w:rPr>
          <w:b/>
        </w:rPr>
        <w:t>[Pages 13–15]</w:t>
      </w:r>
    </w:p>
    <w:p>
      <w:r>
        <w:t>DIRECTORATE OF INVESTIGATION</w:t>
      </w:r>
    </w:p>
    <w:p>
      <w:r>
        <w:t>joint share of [10-20%], as well as provisions, where it will hold a share of [10-20%], behind the ZURICH group ([10-20%] in premiums and [0-10%] in provisions) and followed by the SANTANDER ([10-20%] in premiums and [0-10%] in provisions) and LA CAIXA ([10-20%] in premiums and [10-20%] in provisions).</w:t>
      </w:r>
    </w:p>
    <w:p>
      <w:r>
        <w:t>(74) Regarding the different segments considered in the field of life insurance, the share of the MAPFRE group amounts to [0-10%] of individual life insurance, [10-20%] of group life insurance, [0-10%] in risk life insurance, and [0-10%] in savings modality. The joint shares of ASCAT VIDA, CAIXA TARRAGONA VIDA, and CAIXA MANRESA are [0-10%] in individual insurance, [0-10%] in group insurance, [0-10%] in risk insurance, and [0-10%] in savings.</w:t>
      </w:r>
    </w:p>
    <w:p>
      <w:r>
        <w:t>(75) Consequently, the resulting shares from the operation will be [10-20%] in individual life insurance, [10-20%] in group life insurance, [10-20%] in risk life insurance, and [10-20%] in savings modality.</w:t>
      </w:r>
    </w:p>
    <w:p>
      <w:r>
        <w:t>VII.1.2. Non-life insurance market</w:t>
      </w:r>
    </w:p>
    <w:p>
      <w:r>
        <w:t>(76) The following table outlines the structure of the Spanish non-life insurance market, according to data provided by the notifier from ICEA:</w:t>
      </w:r>
    </w:p>
    <w:p>
      <w:r>
        <w:t>SPANISH NON-LIFE INSURANCE MARKET. 2009</w:t>
      </w:r>
    </w:p>
    <w:p>
      <w:r>
        <w:t>Entities Value (millions of euros) Share</w:t>
        <w:br/>
        <w:t>MAPFRE […] [10-20%]</w:t>
        <w:br/>
        <w:t>SANTANDER […] [0-10%]</w:t>
        <w:br/>
        <w:t>ZURICH […] [0-10%]</w:t>
        <w:br/>
        <w:t>AVIVA […] [0-10%]</w:t>
        <w:br/>
        <w:t>LA CAIXA […] [0-10%]</w:t>
        <w:br/>
        <w:t>GENERALI […] [0-10%]</w:t>
        <w:br/>
        <w:t>Others […] …….</w:t>
        <w:br/>
        <w:t>ASCAT SEGUROS GENERALES […] [0-10%]</w:t>
        <w:br/>
        <w:t>Total […] 100%</w:t>
      </w:r>
    </w:p>
    <w:p>
      <w:r>
        <w:t>Source: Notification (data from ICEA).</w:t>
      </w:r>
    </w:p>
    <w:p>
      <w:r>
        <w:t>(77) Regarding multi-risk home insurance, the only non-life insurance market in which both parties are active, MAPFRE's share amounts to [10-20%] of the market and ASCAT SEGUROS GENERALES' share to [0-10%] of the same, according to 2009 data.</w:t>
      </w:r>
    </w:p>
    <w:p>
      <w:r>
        <w:t>VII.1.3. Market for the management of pension plans and funds</w:t>
      </w:r>
    </w:p>
    <w:p>
      <w:r>
        <w:t>(78) According to data from the DGSFP, as of December 2009, the number of entities managing pension funds and plans was 105. The total number of funds and pension plans registered with the DGSFP amounted to 1,420 and 3,071 respectively, representing an increase of 3.3% for funds and 1.7% for pension plans compared to 2008.</w:t>
      </w:r>
    </w:p>
    <w:p>
      <w:r>
        <w:t>DIRECTORATE OF INVESTIGATION</w:t>
      </w:r>
    </w:p>
    <w:p>
      <w:r>
        <w:t>(79) The following table shows the structure of the Spanish market for the management of pension plans and funds according to managed assets, based on data provided by the notifier from INVERCO31.</w:t>
      </w:r>
    </w:p>
    <w:p>
      <w:r>
        <w:t>SPANISH MARKET FOR PENSION PLANS AND FUNDS</w:t>
      </w:r>
    </w:p>
    <w:p>
      <w:r>
        <w:t>According to managed assets. 2009</w:t>
      </w:r>
    </w:p>
    <w:p>
      <w:r>
        <w:t>Entities Value (millions of euros) Share</w:t>
        <w:br/>
        <w:t>BBVA 15,771.99 18.60%</w:t>
        <w:br/>
        <w:t>LA CAIXA 13,210.77 15.58%</w:t>
        <w:br/>
        <w:t>SANTANDER 9,207.61 10.86%</w:t>
        <w:br/>
        <w:t>CASER 4,576.20 5.40%</w:t>
        <w:br/>
        <w:t>IBERCAJA 4,356.48 5.14%</w:t>
        <w:br/>
        <w:t>BANCO POPULAR 4,006.03 4.72%</w:t>
        <w:br/>
        <w:t>CAJA MADRID 3,971.53 4.68%</w:t>
        <w:br/>
        <w:t>MAPFRE 3,530.86 4.16%</w:t>
        <w:br/>
        <w:t>BANCAJACAJA BANCAJA 1,929.68 2.28%</w:t>
        <w:br/>
        <w:t>CAJA RURAL 1,239.91 1.46%</w:t>
        <w:br/>
        <w:t>ASCAT VIDA 1,208.16 1.42%</w:t>
        <w:br/>
        <w:t>Others … …</w:t>
        <w:br/>
        <w:t>CAIXA MANRESA VIDA 166.27 0.20%</w:t>
        <w:br/>
        <w:t>CAIXA TARRAGONA VIDA 109.73 0.13%</w:t>
        <w:br/>
        <w:t>Total 84,778.62 100%</w:t>
      </w:r>
    </w:p>
    <w:p>
      <w:r>
        <w:t>Source: Notification (data from INVERCO).</w:t>
      </w:r>
    </w:p>
    <w:p>
      <w:r>
        <w:t>(80) The joint share of MAPFRE and the insurers ASCAT VIDA, CAIXA TARRAGONA VIDA, and CAIXA MANRESA VIDA will amount to 5.91% of the market for the management of pension plans and funds.</w:t>
      </w:r>
    </w:p>
    <w:p>
      <w:r>
        <w:t>VII.2. Structure of demand, distribution, and prices</w:t>
      </w:r>
    </w:p>
    <w:p>
      <w:r>
        <w:t>(81) The demand for life insurance, non-life insurance, and pension funds and plans is highly fragmented and consists of individual and institutional clients, who can easily switch providers32, which restricts the market power of operators.</w:t>
      </w:r>
    </w:p>
    <w:p>
      <w:r>
        <w:t>(82) The main distribution channels used by the Spanish insurance sector are direct channels owned by the insurance company, such as the offices of the entity itself, the telephone channel, or the Internet, and indirect channels that use intermediaries for the marketing of their products, such as agents or independent brokers, banks, and savings banks.</w:t>
      </w:r>
    </w:p>
    <w:p>
      <w:r>
        <w:t>(83) According to data from the DGSFP, traditional insurance brokers (44.74%) and banks and savings banks (35.04%) are the main distribution channels for insurance in Spain, representing nearly 80% of the total insurance business31. However, their participation differs in the life and non-life sectors, as in the former, the bank-insurance channel is the main distributor, with 64.87%, while in non-life it only reaches 8.85%, where traditional brokers distribute 65.94%.</w:t>
      </w:r>
    </w:p>
    <w:p>
      <w:r>
        <w:t>(84) MAPFRE distributes its insurance and pension products through the branch networks of CAJA MADRID, CCM, BANKINTER, and CAJA DUERO, its own network of offices, the telephone channel, and the internet, as well as through intermediaries (agents or brokers), who act as third parties.</w:t>
      </w:r>
    </w:p>
    <w:p>
      <w:r>
        <w:t>(85) As previously indicated, ASCAT VIDA, ASCAT SEGUROS GENERALES, CAIXA TARRAGONA VIDA, and CAIXA MANRESA VIDA DUERO VIDA market all their insurance through the commercial network of their parent companies.</w:t>
      </w:r>
    </w:p>
    <w:p>
      <w:r>
        <w:t>(86) In the insurance sector, it is very difficult to determine the average price for each of the different products offered, as it depends on factors such as the type of coverage, the risk to be covered, and the included value-added services.</w:t>
      </w:r>
    </w:p>
    <w:p>
      <w:r>
        <w:t>(87) In the life sector, the mechanisms for determining prices revolve around parameters established in the regulation of insurance activity: mortality and survival tables, technical interest rates and investment rates, internal and external management costs, etc., taking into account different variables depending on whether it concerns risk or savings insurance.</w:t>
      </w:r>
    </w:p>
    <w:p>
      <w:r>
        <w:t>(88) In the case of pension plans, where no concept comparable to price can be discussed, management and deposit fees are calculated based on the plan's modality and the type of assets in which the fund invests, always having to be within the range established by specific legislation.</w:t>
      </w:r>
    </w:p>
    <w:p>
      <w:r>
        <w:t>VII.3. Barriers to entry and potential competition</w:t>
      </w:r>
    </w:p>
    <w:p>
      <w:r>
        <w:t>(89) The main barriers in the insurance sector stem from the need to obtain administrative authorization to carry out such activity, to have an adequate distribution network, and to possess sufficient financial capacity. However, none of these factors seem to constitute an insurmountable barrier to entry.</w:t>
      </w:r>
    </w:p>
    <w:p>
      <w:r>
        <w:t>(90) Regarding administrative authorization, Article 5 of Royal Legislative Decree 6/2004 establishes that access to insurance activity is subject to prior administrative authorization from the Ministry of Economy and Finance, through the DGSPP33. Under the so-called "third" Directives34, this authorization is valid for the entire EEA and allows the insurance entity to operate within it under the establishment right or under the free provision of services.</w:t>
      </w:r>
    </w:p>
    <w:p>
      <w:r>
        <w:t>33 Also from the Autonomous Communities that have assumed competencies in this matter.</w:t>
        <w:br/>
        <w:t>34 Third Life Insurance Directive (Directive 92/96/EEC).</w:t>
      </w:r>
    </w:p>
    <w:p>
      <w:r>
        <w:rPr>
          <w:b/>
        </w:rPr>
        <w:t>[Pages 16–18]</w:t>
      </w:r>
    </w:p>
    <w:p>
      <w:r>
        <w:t>DIRECTORATE OF INVESTIGATION</w:t>
      </w:r>
    </w:p>
    <w:p>
      <w:r>
        <w:t>(91) Regarding the need for a distribution network, while possessing a wide network represents an important asset, new forms of remote distribution, via telephone or through the Internet, and especially the conclusion of agreements with banks and savings banks and insurance brokers, which are ultimately the main marketing channels for insurance, allow for the relativization of the scope of this entry barrier.</w:t>
      </w:r>
    </w:p>
    <w:p>
      <w:r>
        <w:t>(92) In this regard, almost all banking entities have their own entities or are in partnership with insurers aimed at marketing life insurance and pension plans, in the so-called banking insurance regime.</w:t>
      </w:r>
    </w:p>
    <w:p>
      <w:r>
        <w:t>(93) Finally, the need for sufficient financial capacity arises from the requirements to obtain administrative authorization and to be able to carry out insurance activities. The solvency margin and the guarantee fund required by Royal Legislative Decree 6/2004 do not constitute an insurmountable barrier for a credit institution or medium-sized investor that could develop its activity in the insurance sector.</w:t>
      </w:r>
    </w:p>
    <w:p>
      <w:r>
        <w:t>(94) According to the notifying parties, in recent years no significant company has entered the market, nor is the entry of any significant operator foreseeable, as the main international groups have already been present in Spain for years.</w:t>
      </w:r>
    </w:p>
    <w:p>
      <w:r>
        <w:t>VIII. ASSESSMENT OF THE OPERATION</w:t>
      </w:r>
    </w:p>
    <w:p>
      <w:r>
        <w:t>(95) The notified operation consists of the transfer of exclusive control of ASCAT VIDA, ASCAT SEGUROS GENERALES, CAIXA TARRAGONA VIDA, and CAIXA MANRESA VIDA from CAIXA CATALUNYA, TARRAGONA I MANRESA to joint control of the same by CAIXA CATALUNYA, TARRAGONA I MANRESA and MAPFRE.</w:t>
      </w:r>
    </w:p>
    <w:p>
      <w:r>
        <w:t>(96) Furthermore, the parties have entered into various contracts (insurance distribution agency, marketing of pension plans, and provision of management and administration services) that establish a vertical relationship between MAPFRE and CAIXA CATALUNYA, TARRAGONA I MANRESA.</w:t>
      </w:r>
    </w:p>
    <w:p>
      <w:r>
        <w:t>(97) The operation will not result in a substantial increase in the position that the MAPFRE group holds in the Spanish life and non-life insurance markets or in any of the different identified insurance categories, given the small shares that the acquired insurers hold in all of them, which in no case exceed [0-10%] of the corresponding national market. Therefore, the addition of shares is limited, and the resulting shares do not exceed [10-20%].</w:t>
      </w:r>
    </w:p>
    <w:p>
      <w:r>
        <w:t>(98) Regarding the management of funds and pension plans, the MAPFRE group will reach [0-10%] of the Spanish market, in terms of managed assets, with a smaller increase of [0-10%] percentage points.</w:t>
      </w:r>
    </w:p>
    <w:p>
      <w:r>
        <w:t>DIRECTORATE OF INVESTIGATION</w:t>
      </w:r>
    </w:p>
    <w:p>
      <w:r>
        <w:t>(99) The Spanish life insurance market is a relatively competitive market, in which a considerable number of competitors are present, including the main foreign insurance groups, as well as banking entities, which are strongly entering the market. In this sense, alliances between insurance groups and banking entities can reinforce competition, although the position of the parties and the possible risk arising from the existence of parallel networks that could create a perverse cumulative effect for competition should be assessed in each case, if the reduction of competition among the products of each insurance group within each of the banking channels (intra-brand competition within each establishment) could lead, in a context of concentration among insurance groups, to a reduction of competition among these groups.</w:t>
      </w:r>
    </w:p>
    <w:p>
      <w:r>
        <w:t>(100) In this case, it does not seem likely that such a risk will occur, given that the shares of the parties are small, the number of competing insurers is high, and there are alternative distribution channels to bank offices for insurance and pension plans.</w:t>
      </w:r>
    </w:p>
    <w:p>
      <w:r>
        <w:t>(101) On the other hand, the demand for life insurance and pension funds is highly fragmented and composed of individual and institutional clients, who can easily switch providers, which restricts the market power of the operators. Furthermore, the demand for life insurance products and pension funds is in moderate expansion, which enhances competition among operators.</w:t>
      </w:r>
    </w:p>
    <w:p>
      <w:r>
        <w:t>(102) In light of the above considerations and, in particular, the structure of the sector, it cannot be anticipated that as a result of the notified operation a significant competitive pressure will disappear or that the possibilities of coordination among the remaining operators will increase.</w:t>
      </w:r>
    </w:p>
    <w:p>
      <w:r>
        <w:t>(103) Taking all of the above into account, it is not expected that the operation will pose a threat to effective competition in the analyzed markets, and therefore it is susceptible to being approved in the first phase without commitments.</w:t>
      </w:r>
    </w:p>
    <w:p>
      <w:r>
        <w:t>DIRECTORATE OF INVESTIGATION</w:t>
      </w:r>
    </w:p>
    <w:p>
      <w:r>
        <w:t>IX.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