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https://www.cnmc.es/expedientes/c027310</w:t>
      </w:r>
    </w:p>
    <w:p>
      <w:r>
        <w:t>Pages translated : 12</w:t>
      </w:r>
    </w:p>
    <w:p/>
    <w:p>
      <w:r>
        <w:rPr>
          <w:b/>
        </w:rPr>
        <w:t>[Pages 1–3]</w:t>
      </w:r>
    </w:p>
    <w:p>
      <w:r>
        <w:t xml:space="preserve">NATIONAL COMMISSION  </w:t>
        <w:br/>
        <w:t xml:space="preserve">FOR COMPETITION  </w:t>
        <w:br/>
        <w:t xml:space="preserve">RESOLUTION (Exp. C-0273/10, JOHNSON &amp; JOHNSON/MICRUS)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September 22, 2010.  </w:t>
        <w:br/>
        <w:t xml:space="preserve">Having reviewed the file processed in accordance with Law 15/2007, of July 3, on the Defense of Competition, regarding the acquisition by JOHNSON &amp; JOHNSON of exclusive control over MICRUS ENDOVASCULAR CORPORATION (Exp. C/0273/10), and agreeing with the report and proposal submitted by the Directorate of Investigation, the Council of the National Commission for Competition has resolved, in application of Article 57.2.a) of the aforementioned Law, to authorize the said concentration operation in the first phase.  </w:t>
        <w:b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PROPOSED RESOLUTION  </w:t>
        <w:br/>
        <w:t xml:space="preserve">C-0273/10 JOHNSON&amp;JOHNSON/MICRUS  </w:t>
        <w:br/>
        <w:t xml:space="preserve">I. BACKGROUND  </w:t>
        <w:br/>
        <w:t xml:space="preserve">(1) On August 27, 2010, this Directorate of Investigation received notification of the acquisition by JOHNSON &amp; JOHNSON (J&amp;J) of exclusive control over MICRUS ENDOVASCULAR CORPORATION (MICRUS).  </w:t>
        <w:br/>
        <w:t xml:space="preserve">(2) This notification was made by J&amp;J in accordance with Article 9 of Law 15/2007, of July 3, on the Defense of Competition, as it exceeds the threshold established in letter a) of Article 8.1. This operation is subject to the provisions of Royal Decree 261/2008, of February 22, which approves the Competition Defense Regulation.  </w:t>
        <w:br/>
        <w:t xml:space="preserve">(3) 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  </w:t>
        <w:br/>
        <w:t xml:space="preserve">(4) Furthermore, Article 38.2 of Law 15/2007 adds: “The passage of the maximum period established in Article 36.2.a) of this Law for the resolution in the first phase of concentration control will determine the approval of the corresponding request by administrative silence, except in the cases provided for in Articles 9.5, 55.5, and 57.2.d) of this Law.”  </w:t>
        <w:br/>
        <w:t xml:space="preserve">(5) According to the above, the deadline to decide to initiate the second phase of the procedure is September 27, 2010, inclusive. Once the period for resolving in the first phase has elapsed, the notified operation will be considered tacitly authorized.  </w:t>
        <w:br/>
        <w:t xml:space="preserve">II. NATURE OF THE OPERATION  </w:t>
        <w:br/>
        <w:t xml:space="preserve">(6) The concentration operation consists of the acquisition by JOHNSON &amp; JOHNSON (hereinafter J&amp;J) of exclusive control over MICRUS ENDOVASCULAR CORPORATION (hereinafter MICRUS).  </w:t>
        <w:br/>
        <w:t xml:space="preserve">(7) According to the Merger Agreement and Plan of July 11, 2010, J&amp;J will acquire 100% of the shares of MICRUS, which will merge with a wholly-owned subsidiary of J&amp;J (Cope Acquisition Corp.), with MICRUS being the only surviving entity. The transaction is subject to a suspensive condition relating to the approval of the operation by the Spanish competition authority.  </w:t>
        <w:br/>
        <w:t xml:space="preserve">(8) […]1  </w:t>
        <w:br/>
        <w:t xml:space="preserve">(9) Consequently, the operation is an economic concentration in accordance with the provisions of Article 7.1.b) of the LDC.  </w:t>
        <w:br/>
        <w:t>1 Information whose exact content has been declared confidential is indicated in brackets.</w:t>
      </w:r>
    </w:p>
    <w:p>
      <w:r>
        <w:t xml:space="preserve">DIRECTORATE OF INVESTIGATION  </w:t>
        <w:br/>
        <w:t xml:space="preserve">III. APPLICABILITY OF LAW 15/2007 ON THE DEFENSE OF COMPETITION  </w:t>
        <w:br/>
        <w:t xml:space="preserve">(10) According to the notifying party, the operation does not fall within the scope of Regulation (EC) No. 139/2004 of the Council, of January 20, on the control of concentrations between undertakings.  </w:t>
        <w:br/>
        <w:t xml:space="preserve">(11) However, the notified operation meets the requirements set forth by Law 15/2007 for its notification, as it exceeds the threshold established in Article 8.1a) of the same.  </w:t>
        <w:br/>
        <w:t xml:space="preserve">IV. PARTICIPATING COMPANIES  </w:t>
        <w:br/>
        <w:t xml:space="preserve">IV.1. JOHNSON &amp; JOHNSON (“J&amp;J”)  </w:t>
        <w:br/>
        <w:t xml:space="preserve">(12) J&amp;J is the ultimate parent company of an international group listed on the New York Stock Exchange and engages in the production, distribution, and marketing of health products and services through its three business divisions: (i) consumer; (ii) pharmaceutical; and (iii) medical and diagnostic devices.  </w:t>
        <w:br/>
        <w:t xml:space="preserve">(13) The operation affects the segment of medical and diagnostic devices, which includes a wide range of products used by healthcare professionals or under their supervision. In particular, the operation affects the field of neurovascular devices for the treatment of strokes.  </w:t>
        <w:br/>
        <w:t xml:space="preserve">(14) The J&amp;J group conducts its activities in Spain through Johnson &amp; Johnson S.A., Janssen Cilag S.A., Johnson &amp; Johnson Medical, Lifescan, Ortho Clinical Diagnostics, and Johnson &amp; Johnson Vision Care.  </w:t>
        <w:br/>
        <w:t xml:space="preserve">(15) The turnover of J&amp;J in the last financial year, according to Art. 5 of R.D. 261/2008, is, according to the notifier, as follows:  </w:t>
        <w:br/>
        <w:t xml:space="preserve">TURNOVER OF JOHNSON &amp; JOHNSON  </w:t>
        <w:br/>
        <w:t xml:space="preserve">(millions of euros)  </w:t>
        <w:br/>
        <w:t xml:space="preserve">GLOBAL EU SPAIN  </w:t>
        <w:br/>
        <w:t xml:space="preserve">44,376.85 [&gt;250] [&gt;60]  </w:t>
        <w:br/>
        <w:t xml:space="preserve">Source: Notification  </w:t>
        <w:br/>
        <w:t xml:space="preserve">IV.2. MICRUS ENDOVASCULAR CORPORATION (“MICRUS”)  </w:t>
        <w:br/>
        <w:t xml:space="preserve">(16) MICRUS is a company based in California, USA, engaged in the manufacture and marketing of medical devices for the treatment of neurovascular diseases, in particular, for the minimally invasive treatment of cerebral aneurysms and intracranial atherosclerosis and the prevention of hemorrhagic and ischemic strokes.  </w:t>
        <w:br/>
        <w:t>2</w:t>
      </w:r>
    </w:p>
    <w:p>
      <w:r>
        <w:rPr>
          <w:b/>
        </w:rPr>
        <w:t>[Pages 4–6]</w:t>
      </w:r>
    </w:p>
    <w:p>
      <w:r>
        <w:t xml:space="preserve">DIRECTORATE OF INVESTIGATION  </w:t>
        <w:br/>
        <w:t xml:space="preserve">(17) MICRUS has two subsidiaries in Europe, one in Switzerland (Micrus Endovascular S.A.) and another in the United Kingdom (Micrus Endovascular UK Ltd). In Spain, it sells its products through a local distributor, Cardiva S.L.  </w:t>
        <w:br/>
        <w:t xml:space="preserve">(18) The turnover of MICRUS in the last financial year, according to Art. 5 of R.D. 261/2008, is, according to the notifier, as follows:  </w:t>
        <w:br/>
        <w:t xml:space="preserve">MICRUS TURNOVER  </w:t>
        <w:br/>
        <w:t xml:space="preserve">(millions of euros)  </w:t>
        <w:br/>
        <w:t xml:space="preserve">GLOBAL EU SPAIN  </w:t>
        <w:br/>
        <w:t xml:space="preserve">64.400 [&lt;250] [&lt;60]  </w:t>
        <w:br/>
        <w:t xml:space="preserve">Source: Notification  </w:t>
        <w:br/>
        <w:t xml:space="preserve">V. RELEVANT MARKETS  </w:t>
        <w:br/>
        <w:t xml:space="preserve">V.1 Product Markets  </w:t>
        <w:br/>
        <w:t xml:space="preserve">(19) The operation affects the sector of manufacturing and selling medical instruments (NACE code 32.5) and, in particular, neurovascular devices for the treatment of medical conditions related to strokes.  </w:t>
        <w:br/>
        <w:t xml:space="preserve">(20) Cerebral infarctions (or strokes) can be of two types: ischemic (85%) and hemorrhagic (15%). The former are caused by the narrowing and, ultimately, blockage of a cerebral artery, while the latter are caused by the rupture of a weakened blood vessel in the brain. Since both types are due to different causes, their treatment also differs.  </w:t>
        <w:br/>
        <w:t xml:space="preserve">(21) The origin of ischemic infarctions is usually a thrombus formed in a vessel outside the brain (normally in the heart) that is carried to the head through the bloodstream (embolic infarction or cerebral embolism). Sometimes the thrombus forms in a cerebral vessel2 (thrombotic infarction or cerebral thrombosis).  </w:t>
        <w:br/>
        <w:t xml:space="preserve">(22) The most effective treatment to date for acute ischemic strokes ("AIS") is the intravenous administration of a clot-dissolving drug. However, since this type of drug must be administered within three to four and a half hours after the attack, preventive devices are being developed, based on angioplasty methods (redirecting blood around the lesion using another blood vessel or one made of synthetic material) or stenting (placement of stents to prevent the occlusion of a vessel). Devices are also being developed to remove or break up thrombi in cases of AIS.  </w:t>
        <w:br/>
        <w:t xml:space="preserve">(23) The most common cause of hemorrhagic infarctions is the rupture of a cerebral aneurysm (the weakening of the blood vessel causes a sort of pouch to form that fills with blood and, when it ruptures, reduces the flow to the tissue). In these cases, it is referred to as intracranial atherosclerotic disease (IAD).  </w:t>
        <w:br/>
        <w:t xml:space="preserve">(24) The treatment of hemorrhagic infarctions will depend on the characteristics of the lesion and the patient:  </w:t>
        <w:br/>
        <w:t xml:space="preserve">• The most common form of treatment for intracranial aneurysms is surgical sealing or clipping. It involves the placement, through a highly invasive procedure, of a metal clip at the base of the aneurysm, which stops its growth and prevents its rupture.  </w:t>
        <w:br/>
        <w:t xml:space="preserve">• An alternative procedure is embolization (filling) with coils of the aneurysm, thereby reducing the pressure around it and the possibility of rupture. The embolization of aneurysms usually involves the use of embolic coils, small platinum coils that are introduced through a minimally invasive procedure using a guide catheter and a smaller microcatheter. The aneurysm is filled with several coils that prevent blood flow within it, promoting the formation of a clot and scar tissue. To avoid overfilling or underfilling the aneurysm, embolization coils are manufactured in different shapes and sizes: at the beginning of the procedure, framing coils are used to build the framework in which the rest, which are softer and more flexible, are placed. Recently, enhanced coils have been launched on the market that promote healing within the aneurysm. The embolization procedure is complex and requires very careful and skilled manipulation of very fine metal wires. To assist in the process, a series of devices have been developed such as temporary occlusion balloons, vascular reconstruction devices, and embolic liquids (substances that harden upon contact with blood).  </w:t>
        <w:br/>
        <w:t xml:space="preserve">(25) J&amp;J, through its subsidiary CODMAN, and MICRUS market various devices for the treatment of neurovascular diseases in Spain. Specifically, they are present in the following segments:  </w:t>
        <w:br/>
        <w:t xml:space="preserve">a) Embolization coils: J&amp;J markets a single model of embolization coil (the ORBYT filling coil) […]. In both cases, these are simple coils (bare coils). For its part, MICRUS markets a wide range of coils that includes both simple and enhanced coils.  </w:t>
        <w:br/>
        <w:t xml:space="preserve">b) Vascular reconstruction devices (DVR): This consists of a type of self-expanding stent that allows blood flow to be maintained during the embolization of the aneurysm. Only J&amp;J is present in this market with a share of [30-40]% in Spain, although MICRUS has recently concluded an agreement with Flexible Standing Solutions to develop a DVR stent.  </w:t>
        <w:br/>
        <w:t xml:space="preserve">c) Occlusion balloon catheters: These are long, flexible tubes with a balloon at one end that inflates, pressing against the walls of the vessel and interrupting blood flow. Only MICRUS is present in this segment in Spain, with an estimated share between [5-15]%.  </w:t>
        <w:br/>
        <w:t xml:space="preserve">d) Balloon-expandable stents: The stent (a metal mesh used to reinforce arterial walls) is mounted on a balloon that facilitates its placement in the vessel. Only MICRUS is present in this segment in Spain, with an estimated share between [5-15]%.  </w:t>
        <w:br/>
        <w:t xml:space="preserve">e) Guide catheters: A long, hollow, flexible tube used in minimally invasive interventions. It is inserted through the femoral artery and allows access to the cerebral vessels. Both parties are present in this market.  </w:t>
        <w:br/>
        <w:t xml:space="preserve">f) Guide wires: Thin and very flexible wires used to direct neurovascular catheters to the treatment area. Both parties are present in this market, although their shares are small (J&amp;J's share is between [0-10]% and MICRUS's is below [0-10]%).  </w:t>
        <w:br/>
        <w:t xml:space="preserve">g) Microcatheters: Very fine catheters that allow coils and embolic liquids to be delivered directly to the aneurysm. Both parties are also present in this market.  </w:t>
        <w:br/>
        <w:t xml:space="preserve">(26) In line with community3 and national4 precedents, the notifier considers that neurovascular devices should be treated as a distinct segment from other medical devices, such as endovascular and cardiovascular devices. And within endovascular devices, it proposes the following product markets: embolic coils5 (which could be subdivided into the narrower markets of simple coils and enhanced coils), DVR, occlusion balloon catheters, balloon-expandable stents, guide catheters, guide wires, and microcatheters6.  </w:t>
        <w:br/>
        <w:t xml:space="preserve">(27) Although there are no precedents defining these markets7, given the information provided by the notifier and the arguments used by the Commission in other matters concerning medical devices8, and without prejudice to the fact that the high degree of  </w:t>
        <w:br/>
        <w:t xml:space="preserve">3 Cases M.3687- Johnson&amp;Johnson/Guidant and M.4150- Abbot/Guidant.  </w:t>
        <w:br/>
        <w:t xml:space="preserve">4 C-220/10 Medtronic/Invatec/Fogazzi/Krauth and C-243/10 Covidien/EV3.  </w:t>
        <w:br/>
        <w:t xml:space="preserve">5 It is noted that there are no precedents defining these markets and that, given the increasing substitutability, it is possible that simple coils, sealing clips, and flow diverters (a very recent product) constitute a single market in the treatment of certain aneurysms. In any case, as the parties are only present in the coil segment, they opt for a narrower market definition.  </w:t>
        <w:br/>
        <w:t xml:space="preserve">6 In the cited precedents related to vascular devices, both the European Commission and the CNC consider that each type of access device (balloon catheters, guide catheters, balloon stents, etc.) constitutes a separate market, differentiating between endovascular and cardiovascular access devices.  </w:t>
        <w:br/>
        <w:t xml:space="preserve">7 In case C-243/10 Covidien/EV3, the CNC leaves the definition of markets open.  </w:t>
        <w:br/>
        <w:t>8 See note 2. Specifically, it is referred to that each product requires approval for a very specific use and is employed by different practitioners.</w:t>
      </w:r>
    </w:p>
    <w:p>
      <w:r>
        <w:rPr>
          <w:b/>
        </w:rPr>
        <w:t>[Pages 7–9]</w:t>
      </w:r>
    </w:p>
    <w:p>
      <w:r>
        <w:t xml:space="preserve">DIRECTORATE OF INVESTIGATION  </w:t>
        <w:br/>
        <w:t xml:space="preserve">the dynamism of these markets may lead to different definitions in the future, for the purposes of the present operation, the market definitions proposed by the notifier are accepted.  </w:t>
        <w:br/>
        <w:t xml:space="preserve">(28) In conclusion, this Directorate of Investigation considers that the relevant markets for the purposes of the present operation are: (i) embolization coils (which could be subdivided into the narrower segments of simple coils and enhanced coils); (ii) guide catheters; and (iii) microcatheters.  </w:t>
        <w:br/>
        <w:t xml:space="preserve">V.2 Geographic Markets  </w:t>
        <w:br/>
        <w:t xml:space="preserve">(29) The notifier considers that the relevant geographic market is national, although it points out that there are numerous factors from the supply side that suggest that the relevant market could be the EEA. In particular, it mentions the absence of significant national regulatory and commercial barriers, the centralization of production, low transportation costs, and the possibility of relying on independent distributors, which makes it unnecessary to maintain a local distribution network.  </w:t>
        <w:br/>
        <w:t xml:space="preserve">(30) In previous decisions regarding the medical devices sector, both the European Commission and the CNC have considered that these markets have a national dimension due to the different reimbursement systems, bidding procedures, and differences in prices and market shares in the different countries of the EEA.  </w:t>
        <w:br/>
        <w:t xml:space="preserve">(31) Taking the above into account, this Directorate of Investigation considers that for the purposes of the present operation, the relevant geographic market is national.  </w:t>
        <w:br/>
        <w:t xml:space="preserve">VI. MARKET ANALYSIS  </w:t>
        <w:br/>
        <w:t xml:space="preserve">VI.1. Supply Structure  </w:t>
        <w:br/>
        <w:t xml:space="preserve">(32) According to the notifier, the shares for the affected markets in this operation are as follows:  </w:t>
        <w:br/>
        <w:t xml:space="preserve">(i) Spanish market for embolization coils  </w:t>
        <w:br/>
        <w:t xml:space="preserve">SPANISH MARKET FOR EMBOLIZATION COILS  </w:t>
        <w:br/>
        <w:t xml:space="preserve">2007 2008 2009  </w:t>
        <w:br/>
        <w:t xml:space="preserve">Operator Share Share Share  </w:t>
        <w:br/>
        <w:t xml:space="preserve">J&amp;J (Codman) [0-10]% [0-10]% [0-10]%  </w:t>
        <w:br/>
        <w:t xml:space="preserve">MICRUS [20-30]% [30-40]% [30-40]%  </w:t>
        <w:br/>
        <w:t xml:space="preserve">J&amp;J+MICRUS [20-30]% [40-50]% [40-50]%  </w:t>
        <w:br/>
        <w:t xml:space="preserve">BOSTON SCIENTIFIC 50-60% 40-50% 35-45%  </w:t>
        <w:br/>
        <w:t xml:space="preserve">MICROVENTION/TERUMO 20-30% 15-25% 15-25%  </w:t>
        <w:br/>
        <w:t xml:space="preserve">EV3/COVIDIEN &lt;5% 5-10% 5-10%  </w:t>
        <w:br/>
        <w:t xml:space="preserve">TOTAL 100.00% 100.00% 100.00%  </w:t>
        <w:br/>
        <w:t xml:space="preserve">Source: Notification  </w:t>
        <w:br/>
        <w:t xml:space="preserve">(33) If narrower markets of simple and enhanced coils are considered, there is only overlap between the parties in the segment of simple coils where the parties acquire a combined share of [10-20]% (addition of [0-10]%). In this narrow market, there are other competitors with significant shares such as Boston Scientific ([30-40]%) and Microvention Terumo ([10-20]%). Regarding the narrow market of enhanced coils, only MICRUS is active with a share of [80-90]%.  </w:t>
        <w:br/>
        <w:t xml:space="preserve">(ii) Spanish market for guide catheters  </w:t>
        <w:br/>
        <w:t xml:space="preserve">SPANISH MARKET FOR GUIDE CATHETERS  </w:t>
        <w:br/>
        <w:t xml:space="preserve">2008 2009  </w:t>
        <w:br/>
        <w:t xml:space="preserve">Operator Share Share  </w:t>
        <w:br/>
        <w:t xml:space="preserve">J&amp;J (Codman) [65-75]% [55-65]%  </w:t>
        <w:br/>
        <w:t xml:space="preserve">MICRUS &lt;[0-10]% &lt;[0-10]%  </w:t>
        <w:br/>
        <w:t xml:space="preserve">J&amp;J+MICRUS [65-75]% [55-65]%  </w:t>
        <w:br/>
        <w:t xml:space="preserve">BOSTON SCIENTIFIC &lt;5% 5-10%  </w:t>
        <w:br/>
        <w:t xml:space="preserve">PENUMBRA &lt;5% 5-10%  </w:t>
        <w:br/>
        <w:t xml:space="preserve">BALT 5-10% 5-10%  </w:t>
        <w:br/>
        <w:t xml:space="preserve">The notifier does not provide market share estimates for access products for 2007 as Codman has limited information regarding these products during the period preceding the transfer of J&amp;J's neurovascular business from Cordis to Codman in 2009.  </w:t>
        <w:br/>
        <w:t xml:space="preserve">(iii) Spanish market for microcatheters  </w:t>
        <w:br/>
        <w:t xml:space="preserve">SPANISH MARKET FOR MICROCATHETERS  </w:t>
        <w:br/>
        <w:t xml:space="preserve">2008 2009  </w:t>
        <w:br/>
        <w:t xml:space="preserve">Operator Share Share  </w:t>
        <w:br/>
        <w:t xml:space="preserve">J&amp;J (Codman) [25-35]% [25-35]%  </w:t>
        <w:br/>
        <w:t xml:space="preserve">MICRUS &lt;[0-10]% &lt;[0-10]%  </w:t>
        <w:br/>
        <w:t xml:space="preserve">J&amp;J+MICRUS [25-35]% [25-35]%  </w:t>
        <w:br/>
        <w:t xml:space="preserve">BOSTON SCIENTIFIC 40-50% 35-45%  </w:t>
        <w:br/>
        <w:t xml:space="preserve">EV3/COVIDIEN 20-30% 20-30%  </w:t>
        <w:br/>
        <w:t xml:space="preserve">MICROVENTION/TERUMO &lt;5% &lt;5%  </w:t>
        <w:br/>
        <w:t xml:space="preserve">BALT 0-5% 0-5%  </w:t>
        <w:br/>
        <w:t xml:space="preserve">CONCENTRIC 0-5% 0-5%  </w:t>
        <w:br/>
        <w:t xml:space="preserve">PENUMBRA 0-5% 0-5%  </w:t>
        <w:br/>
        <w:t xml:space="preserve">TOTAL 100% 100%  </w:t>
        <w:br/>
        <w:t xml:space="preserve">Source: Notification  </w:t>
        <w:br/>
        <w:t xml:space="preserve">(34) […].  </w:t>
        <w:br/>
        <w:t xml:space="preserve">(35) CODMAN markets its products in Spain through […]. MICRUS sells its products through an independent distributor, Cardiva S.L.  </w:t>
        <w:br/>
        <w:t xml:space="preserve">VI.2. Demand Structure  </w:t>
        <w:br/>
        <w:t xml:space="preserve">(36) The demand for medical devices in Spain is primarily concentrated in public hospitals (90%) and the private sector (10%), which includes private medical insurers and private centers. These customers acquire products through bidding procedures, where price is the most relevant factor, followed by product quality, reputation, and customer support services.  </w:t>
        <w:br/>
        <w:t>(37) The purchase of medical devices is generally organized through public tenders that are called annually or biennially. Due to budgetary constraints imposed by health authorities (essentially the reimbursement system), hospitals tend to exert pressure on suppliers to impose the most competitive prices. The notifier</w:t>
      </w:r>
    </w:p>
    <w:p>
      <w:r>
        <w:rPr>
          <w:b/>
        </w:rPr>
        <w:t>[Pages 10–12]</w:t>
      </w:r>
    </w:p>
    <w:p>
      <w:r>
        <w:t xml:space="preserve">DIRECTORATE OF INVESTIGATION  </w:t>
        <w:br/>
        <w:t xml:space="preserve">indicates that hospitals are increasingly joining forces to procure products in order to exploit their purchasing power. The duration of supply contracts is normally short (one or two years).  </w:t>
        <w:br/>
        <w:t xml:space="preserve">(38) The devices in question are covered by the national reimbursement system. In Spain, there is a payment system of "Diagnosis Related Groups" (DRG) with a predetermined level of reimbursement, which represents an additional restriction on the pricing policy of suppliers.  </w:t>
        <w:br/>
        <w:t xml:space="preserve">VI.3. Barriers to Entry  </w:t>
        <w:br/>
        <w:t xml:space="preserve">(39) According to the notifier, there are no significant commercial or regulatory barriers to entry in any of the relevant markets since, among other things, once CE marking is obtained, products can be sold throughout the EEA, the means necessary for production are easily accessible, transportation costs are not high, distribution does not necessarily require local presence, and the products are quite homogeneous.  </w:t>
        <w:br/>
        <w:t xml:space="preserve">(40) The notifier points out that to achieve and maintain a competitive position in the market for coils and, in general, in devices for the treatment of ischemic stroke, investments in R&amp;D are substantially greater than for other neurovascular devices (such as guide catheters, where the underlying technology is well known and innovation allows technological developments to be reached or surpassed relatively quickly). However, for a new manufacturer, it is possible to reduce R&amp;D costs if they develop their products in cooperation with the neurovascular department of a university hospital.  </w:t>
        <w:br/>
        <w:t xml:space="preserve">(41) On the other hand, it is also noted that intellectual property rights do not represent a barrier to entry in this sector, as the first patents related to embolization coils and access devices date back to the early 90s, so the rights over this technology have expired or are close to expiring, except for certain improvements in design.  </w:t>
        <w:br/>
        <w:t xml:space="preserve">VII. ASSESSMENT OF THE OPERATION  </w:t>
        <w:br/>
        <w:t xml:space="preserve">(42) The operation involves the acquisition by J&amp;J of exclusive control over MICRUS. The operation is materialized according to the Merger Agreement and Plan signed on July 11, 2010, under which J&amp;J will acquire 100% of the shares of MICRUS.  </w:t>
        <w:br/>
        <w:t xml:space="preserve">(43) The acquisition of MICRUS by J&amp;J affects the medical devices sector (NACE code 32.5), and in particular the market for devices for the treatment of neurovascular diseases. With this operation […]  </w:t>
        <w:br/>
        <w:t xml:space="preserve">(44) As a result of the concentration, there will be relevant horizontal overlaps in the markets of (i) embolization coils, (ii) neurovascular guide catheters, and (iii) neurovascular microcatheters. These markets would have a national geographic dimension.  </w:t>
        <w:br/>
        <w:t xml:space="preserve">(45) The overlap in the market for guide catheters does not raise competition concerns as the addition of share is marginal (below [0-10]%). As a result of the operation, J&amp;J slightly strengthens its leading position ([55-65]%), but it should be noted that this is a dynamic market, as shown by the recent evolution of shares (particularly the rapid growth of Penumbra in 2009), and that there are other competitors with a significant presence such as Boston Scientific (5-15%) that ensure sufficient competitive pressure.  </w:t>
        <w:br/>
        <w:t xml:space="preserve">(46) The overlap occurring in the microcatheter market is also not concerning, as the addition of share is likewise very small (below [0-10]%) and in this market, there are two other players with sufficient weight to limit the independent action of the acquirer: Boston Scientific ([35-45]%) and EV3/Covidien ([20-30]%).  </w:t>
        <w:br/>
        <w:t xml:space="preserve">(47) In the embolization coil market, the operation involves the acquisition by J&amp;J of a share of [40-50]% (addition of [30-40]%), which positions it as the leader in this segment.  </w:t>
        <w:br/>
        <w:t xml:space="preserve">(48) However, in the coil market, other players with a relevant presence operate, such as Boston Scientific (35-45%) and Microvention (15-25%). Additionally, EV3 is expected to gain weight following its recent acquisition of Covidien.  </w:t>
        <w:br/>
        <w:t xml:space="preserve">(49) Furthermore, it should be noted that this is a rapidly growing market and, given this dynamic nature, there is ample room for new competitors to gain a significant volume of sales if they introduce improved products. Evidence of this dynamism, according to the notifier, is the large number of participants that have entered the market in recent years or are currently making investments to introduce new devices, which would also demonstrate the absence of relevant barriers to entry.  </w:t>
        <w:br/>
        <w:t xml:space="preserve">(50) In the sub-segment of simple coils, the resulting share is [10-20]% (addition of [0-10]%). In this narrow market, Boston Scientific ([30-40]%) and Microvention ([10-20]%) also operate. Furthermore, the simple coils of the parties are not direct competitors, with the operation fundamentally having the effect of increasing the portfolio offered by J&amp;J in these markets. Regarding the sub-segment of enhanced coils (which represents only 20% of the interventions), only MICRUS is present with a share of [80-90]%, so the operation will only result in the replacement of MICRUS by J&amp;J, without altering the structure of the supply in this market.  </w:t>
        <w:br/>
        <w:t xml:space="preserve">(51) In any case, the improvement of J&amp;J's portfolio resulting from the operation is not concerning to the extent that it would be replicable, as evidenced by the fact that some competitors (Boston Scientific and EV3/Covidien) are already present in these markets.  </w:t>
        <w:br/>
        <w:t xml:space="preserve">(52) Taking all of the above into account, it is not expected that the operation will pose a threat to competition in the analyzed market, so it is susceptible to being approved in the first phase without commitments.  </w:t>
        <w:br/>
        <w:t xml:space="preserve">VIII. PROPOSAL  </w:t>
        <w:br/>
        <w:t>In light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