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https://www.cnmc.es/expedientes/c027410</w:t>
      </w:r>
    </w:p>
    <w:p>
      <w:r>
        <w:t>Pages translated : 1</w:t>
      </w:r>
    </w:p>
    <w:p/>
    <w:p>
      <w:r>
        <w:rPr>
          <w:b/>
        </w:rPr>
        <w:t>[Pages 1–1]</w:t>
      </w:r>
    </w:p>
    <w:p>
      <w:r>
        <w:t>NATIONAL COMPETITION COMMISSION</w:t>
        <w:br/>
        <w:t>RESOLUTION (Case C-0274/10, LIPSA/CARGILL)</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November 15, 2010.</w:t>
      </w:r>
    </w:p>
    <w:p>
      <w:r>
        <w:t>Having reviewed the case processed in accordance with Law 15/2007, of July 3, on the Defense of Competition, concerning the acquisition by LIPIDOS SANTIGA S.A. (LIPSA) of the bulk refined sunflower oil marketing business that CARGILL S.L.U. owns at its plant in Seville (Case C/0274/10),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supply contract, which remains subject to the regulations on agreements between companies.</w:t>
      </w:r>
    </w:p>
    <w:p>
      <w:r>
        <w:t>Regarding the request for lifting the suspension, this authorization makes it unnecessary for the Council to rule on it.</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