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https://www.cnmc.es/expedientes/c027510</w:t>
      </w:r>
    </w:p>
    <w:p>
      <w:r>
        <w:t>Pages translated : 1</w:t>
      </w:r>
    </w:p>
    <w:p/>
    <w:p>
      <w:r>
        <w:rPr>
          <w:b/>
        </w:rPr>
        <w:t>[Pages 1–1]</w:t>
      </w:r>
    </w:p>
    <w:p>
      <w:r>
        <w:t>RESOLUTION (File C-0275/10, GRIFOLS/TALECRIS)</w:t>
      </w:r>
    </w:p>
    <w:p>
      <w:r>
        <w:t>COUNCIL</w:t>
      </w:r>
    </w:p>
    <w:p>
      <w:r>
        <w:t xml:space="preserve">Mr. Luis Berenguer Fuster, President  </w:t>
        <w:br/>
        <w:t xml:space="preserve">Ms. Pilar Sánchez Núñez, Vice President  </w:t>
        <w:br/>
        <w:t xml:space="preserve">Mr. Julio Costas Comesaña, Council Member  </w:t>
        <w:br/>
        <w:t xml:space="preserve">Ms. Mª Jesús González López, Council Member  </w:t>
        <w:br/>
        <w:t>Ms. Inmaculada Gutiérrez Carrizo, Council Member</w:t>
      </w:r>
    </w:p>
    <w:p>
      <w:r>
        <w:t>In Madrid, on November 3, 2010.</w:t>
      </w:r>
    </w:p>
    <w:p>
      <w:r>
        <w:t>Having reviewed the file processed in accordance with Law 15/2007, of July 3, on the Defense of Competition, concerning the acquisition by GRIFOLS S.A. of all shares of TALECRIS BIOTHERAPEUTIC HOLDINGS CORPORATION (File C/0275/10), and in agreement with the report and proposal submitted by the Investigation Directorate, the Council of the National Competition Commission has resolved, pursuant to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