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https://www.cnmc.es/expedientes/c027610</w:t>
      </w:r>
    </w:p>
    <w:p>
      <w:r>
        <w:t>Pages translated : 1</w:t>
      </w:r>
    </w:p>
    <w:p/>
    <w:p>
      <w:r>
        <w:rPr>
          <w:b/>
        </w:rPr>
        <w:t>[Pages 1–1]</w:t>
      </w:r>
    </w:p>
    <w:p>
      <w:r>
        <w:t xml:space="preserve">RESOLUTION (File C-0276/10, JHTS/BASF)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November 10, 2010.  </w:t>
        <w:br/>
        <w:t xml:space="preserve">Having reviewed the file processed in accordance with Law 15/2007, of July 3, on the Defense of Competition, concerning the acquisition by the company JOHN HOGG TECHNICAL SOLUTIONS LTD of the assets related to the business of manufacturing and marketing dyes and tracer agents for use in mineral oils owned by the company BASF SE (File C/0276/10), and in agreement with the report and proposal submitted by the Investigation Directorate, the Council of the National Commission of Competition has resolved, in application of Article 57.2.a) of the aforementioned Law, to authorize the said concentration operation in the first phase.  </w:t>
        <w:br/>
        <w:t xml:space="preserve">This Resolution shall be communicated to the Investigation Directorate of the National Commission of Competition and notified to the interested parties, informing them that it concludes the administrative procedure and that a contentious-administrative appeal may be filed against it before the National Court, within a period of two months from its notification.  </w:t>
        <w:b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