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https://www.cnmc.es/expedientes/c027910</w:t>
      </w:r>
    </w:p>
    <w:p>
      <w:r>
        <w:t>Pages translated : 1</w:t>
      </w:r>
    </w:p>
    <w:p/>
    <w:p>
      <w:r>
        <w:rPr>
          <w:b/>
        </w:rPr>
        <w:t>[Pages 1–1]</w:t>
      </w:r>
    </w:p>
    <w:p>
      <w:r>
        <w:t>NATIONAL COMPETITION COMMISSION</w:t>
        <w:br/>
        <w:t>RESOLUTION (File C-0279/10, DORF KETAL/JOHNSON MATTHEY)</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November 15, 2010.</w:t>
      </w:r>
    </w:p>
    <w:p>
      <w:r>
        <w:t>Having reviewed the file processed in accordance with Law 15/2007, of July 3, on the Defense of Competition, concerning the acquisition by DORF KETAL of exclusive control over the titanates and zirconates business of JOHNSON MATTHEY (File C/0279/10), and in agreement with the report and proposal submitted by the Investigation Directorate, the Council of the National Competition Commission has resolved, in application of Article 57.2.a) of the aforementioned Law, to authorize the said concentration operation in the first phase, except with respect to the non-competition clauses, to the extent that they exceed three years, non-solicitation, and non-opposition, for a period of five years, to the actions of any of the exclusive distributors and agents on behalf of and for the account of the buyer or any other company of the group in relation to any business of the buyer's group, which will be subject to the general regulations on agreements between companies.</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