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https://www.cnmc.es/expedientes/c028110</w:t>
      </w:r>
    </w:p>
    <w:p>
      <w:r>
        <w:t>Pages translated : 13</w:t>
      </w:r>
    </w:p>
    <w:p/>
    <w:p>
      <w:r>
        <w:rPr>
          <w:b/>
        </w:rPr>
        <w:t>[Pages 1–3]</w:t>
      </w:r>
    </w:p>
    <w:p>
      <w:r>
        <w:t xml:space="preserve">NATIONAL COMPETITION COMMISSION  </w:t>
        <w:br/>
        <w:t xml:space="preserve">RESOLUTION (File C-0281/10, CAM/CAJASTUR/CAJA EXTREMADURA/CAJA CANTABRIA)  </w:t>
        <w:br/>
        <w:t xml:space="preserve">COUNCIL  </w:t>
        <w:br/>
        <w:t xml:space="preserve">Mr. Luis Berenguer Fuster, President  </w:t>
        <w:br/>
        <w:t xml:space="preserve">Ms. Pilar Sánchez Núñez, Vice President  </w:t>
        <w:br/>
        <w:t xml:space="preserve">Mr. Julio Costas Comesaña, Council Member  </w:t>
        <w:br/>
        <w:t xml:space="preserve">Ms. Mª Jesús González López, Council Member  </w:t>
        <w:br/>
        <w:t xml:space="preserve">Ms. Inmaculada Gutiérrez Carrizo, Council Member  </w:t>
        <w:br/>
        <w:t>In Madrid, on October 27, 2010.</w:t>
      </w:r>
    </w:p>
    <w:p>
      <w:r>
        <w:t>Having reviewed the file processed in accordance with Law 15/2007, of July 3, on the Defense of Competition, regarding the integration of CAJA DE AHORROS DEL MEDITERRÁNEO (CAM), CAJA DE AHORROS DE ASTURIAS (CAJASTUR), CAJA DE AHORROS Y MONTE DE PIEDAD DE EXTREMADURA, and CAJA DE AHORROS DE SANTANDER Y CANTABRIA, through an Integration Contract dated July 27, 2010, under which the Cajas will maintain their own legal personality but will integrate their previously independent businesses and activities, transferring the management and direction of the same to a central entity that will be constituted as a newly created bank, participated by the four promoting Cajas of the SIP, (File C/0281/10),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PROPOSAL FOR RESOLUTION  </w:t>
        <w:br/>
        <w:t>FILE C-0281/10 CAM/CAJASTUR/CAJA EXTREMADURA/CAJA CANTABRIA</w:t>
      </w:r>
    </w:p>
    <w:p>
      <w:r>
        <w:t>I. BACKGROUND</w:t>
      </w:r>
    </w:p>
    <w:p>
      <w:r>
        <w:t>(1) On September 17, 2010, a notification was received by the National Competition Commission (CNC) regarding the integration of CAJA DE AHORROS DEL MEDITERRÁNEO (CAM), CAJA DE AHORROS DE ASTURIAS (CAJASTUR), CAJA DE AHORROS Y MONTE DE PIEDAD DE EXTREMADURA (CAJA EXTREMADURA), and CAJA DE AHORROS DE SANTANDER Y CANTABRIA (CAJA CANTABRIA) through an Institutional Protection System (SIP)1 under which the Cajas will maintain their own legal personality but will integrate their previously independent businesses and activities, transferring the management and direction of the same to a Central Entity, which will be constituted as a newly created bank, participated by the four2 promoting Cajas of the SIP.</w:t>
      </w:r>
    </w:p>
    <w:p>
      <w:r>
        <w:t>(2) On September 23, 2010, this Directorate of Investigation requested the report provided for in Article 17.2.c) of Law 15/2007, of July 3, on the Defense of Competition (hereinafter LDC), in relation to the reference file. This report was received by the CNC on October 19, 2010.</w:t>
      </w:r>
    </w:p>
    <w:p>
      <w:r>
        <w:t>(3) Taking all of the above into account, the deadline to agree to initiate the second phase of the procedure is November 10, 2010, inclusive. After this date, the notified operation will be considered tacitly authorized.</w:t>
      </w:r>
    </w:p>
    <w:p>
      <w:r>
        <w:t>II. NATURE OF THE OPERATION</w:t>
      </w:r>
    </w:p>
    <w:p>
      <w:r>
        <w:t>(4) The concentration operation consists of the integration of CAM, CAJASTUR, CAJA EXTREMADURA, and CAJA CANTABRIA through an Integration Contract dated July 27, 2010, under which the Cajas will maintain their own legal personality but will integrate their previously independent businesses and activities, transferring the management and direction of the same to a Central Entity, which will be constituted as a newly created bank, participated by the four promoting Cajas of the SIP.</w:t>
      </w:r>
    </w:p>
    <w:p>
      <w:r>
        <w:t>(5) The Integration Contract defines a joint economic, commercial, operational, and business management in strategic matters, as the Cajas transition from being independent entities to being part of a consolidable group and being under the same unit of decision and control, the Central Entity, responsible for determining binding policies and business strategies of the group, as well as the levels and measures of internal control and risk management of all the Cajas […]3</w:t>
      </w:r>
    </w:p>
    <w:p>
      <w:r>
        <w:t>(6) Notwithstanding the above, according to Clause 10 of the Integration Contract, subject to the policies and strategies determined by the Central Entity, the Parties will maintain the management and implementation of such policies and strategies in their local retail businesses in their “Natural Territories”4.</w:t>
      </w:r>
    </w:p>
    <w:p>
      <w:r>
        <w:t>(7) According to the notifying parties, none of the Cajas will be in a position to exclusively or jointly control the Central Entity since the adoption of agreements by reinforced majorities both in the General Meeting5 and in the Board of Directors6 of the Central Entity does not include matters that confer control over the resulting Central Entity in the sense of Article 7 of the LDC.</w:t>
      </w:r>
    </w:p>
    <w:p>
      <w:r>
        <w:t>(8) Likewise, the matters for which the favorable vote of […] or […] is required in the General Meeting7 and those for which the favorable vote of at least one director appointed by one of the two8 in the Board of Directors is required, are not sufficient to confer control to any of these entities over the Central Entity. Finally, the matters on which […] and […], have the possibility of negative veto in the Board of Directors, are not</w:t>
      </w:r>
    </w:p>
    <w:p>
      <w:r>
        <w:t xml:space="preserve">3 Information whose exact content has been declared confidential is indicated in brackets.  </w:t>
        <w:br/>
        <w:t xml:space="preserve">4 Natural Territories for CAM: Autonomous Communities of Valencia, Murcia, and Balearic Islands; for CAJASTUR: Autonomous Communities of Asturias and Castilla La Mancha; for CAJA EXTREMADURA: Autonomous Community of Extremadura; for CAJA CANTABRIA: Autonomous Community of Cantabria.  </w:t>
        <w:br/>
        <w:t xml:space="preserve">5 Clause 12.2.3 of the Integration Contract refers to the reinforced majority in the General Meeting, according to which the affirmative vote of […] of the capital with voting rights will be required for the adoption of agreements relating to reserved matters such as: increase and reduction of the capital of the Central Entity, issuance of securities that grant the right to acquire or subscribe shares of the Central Entity, statutory modifications of the Central Entity, or expansion of the number of members of the Central Entity.  </w:t>
        <w:br/>
        <w:t xml:space="preserve">6 Clause 12.3.8 of the Integration Contract refers to the adoption of agreements in the Board of Directors. A reinforced majority […] will be required for the policy of application of the group's results, the creation of executive committees or delegation of powers to persons other than the CEO, and the modification of the Regulations. Likewise, for the determination of the brand that the group will use in the expansion territories, a reinforced majority […] will be required.  </w:t>
        <w:br/>
        <w:t xml:space="preserve">7 For the appointment of independent directors of the Central Entity and the execution of capital increases excluding the right of preferential subscription.  </w:t>
        <w:br/>
        <w:t>8 For the determination of the brand to be used by the group in the expansion territories.</w:t>
      </w:r>
    </w:p>
    <w:p>
      <w:r>
        <w:rPr>
          <w:b/>
        </w:rPr>
        <w:t>[Pages 4–6]</w:t>
      </w:r>
    </w:p>
    <w:p>
      <w:r>
        <w:t xml:space="preserve">DIRECTORATE OF INVESTIGATION  </w:t>
        <w:br/>
        <w:t xml:space="preserve">sufficient to confer joint control to these two entities over the Central Entity.  </w:t>
        <w:br/>
        <w:t xml:space="preserve">(9) On the other hand, the Integration Contract […] provides for a duration of 15 years, during which no entity may voluntarily leave the SIP.  </w:t>
        <w:br/>
        <w:t xml:space="preserve">(10) According to paragraph 10 of the Consolidated Communication of the Commission on Jurisdictional Issues in Competition, the type of concentration contemplated in letter a) of Article 3.1 of Regulation 139/2004 on the control of concentrations may occur, that is, a merger between previously independent companies "when, despite not producing a merger at the legal level, the combination of the activities of previously independent companies results in the creation of a single economic entity. This can occur especially when two or more companies, which retain their own legal personality, establish through contract a joint economic management or the structure of a dual-listed company. If it leads to a de facto merger of the participating companies into a single economic entity, it is considered a concentration operation. The existence of a unique and permanent economic management is an indispensable prerequisite to determine whether such a de facto concentration exists. Among other important factors, internal compensation of losses and profits or a distribution of income among the different entities of the group, as well as joint liability or the division of external risks (…)”.  </w:t>
        <w:br/>
        <w:t xml:space="preserve">(11) In light of all the above and taking into account the provisions of paragraph 10 of the Consolidated Communication of the Commission on Jurisdictional Issues in Competition, the Directorate of Investigation understands the notified operation as a concentration, in the sense of what is provided in Article 7.1 of the LDC, between CAM, CAJASTUR, CAJA EXTREMADURA, and CAJA CANTABRIA, Cajas that will maintain their own legal personality but will integrate their previously independent businesses and activities, transferring the management and direction of the same to a Central Entity, which will be a credit institution that will exercise unique and permanent economic direction.  </w:t>
        <w:br/>
        <w:t xml:space="preserve">III. APPLICABILITY OF LAW 15/2007 ON COMPETITION DEFENSE  </w:t>
        <w:br/>
        <w:t xml:space="preserve">(12) The operation is not of community dimension since although the operation reaches the thresholds established in Article 1.2 of Regulation (EC) 139/2004 of January 20 on the control of concentrations between companies, each of the Cajas carries out more than two-thirds of its total business volume in the European Union in Spain.  </w:t>
        <w:br/>
        <w:t>(13) The notified operation meets the requirements set forth by the LDC as it exceeds the threshold established in Article 8.1 b) thereof.</w:t>
      </w:r>
    </w:p>
    <w:p>
      <w:r>
        <w:t xml:space="preserve">DIRECTORATE OF INVESTIGATION  </w:t>
        <w:br/>
        <w:t xml:space="preserve">IV. PARTICIPATING COMPANIES  </w:t>
        <w:br/>
        <w:t xml:space="preserve">IV.1. CAJA DE AHORROS DEL MEDITERRÁNEO (CAM)  </w:t>
        <w:br/>
        <w:t xml:space="preserve">(14) CAM is one of the three savings banks in the Valencian Community, resulting from the integration, at different stages, of 29 financial entities. CAM's activity is mainly focused on retail banking for individuals and SMEs. It belongs to the Spanish Confederation of Savings Banks and is integrated into the Deposit Guarantee Fund for Savings Banks (FDG).  </w:t>
        <w:br/>
        <w:t xml:space="preserve">(15) Additionally, and on a residual basis, CAM is present in the corporate and investment banking sector and operations in the money markets, as well as in insurance activities and the management of plans and management funds. It also participates in companies with businesses in sectors such as real estate and hospitality.  </w:t>
        <w:br/>
        <w:t xml:space="preserve">(16) CAM has a network of 1,007 branches9, in addition to providing services to its clients through 9 offices abroad.  </w:t>
        <w:br/>
        <w:t xml:space="preserve">(17) CAM is not under the individual or joint control, either directly or indirectly, of any natural or legal person.  </w:t>
        <w:br/>
        <w:t xml:space="preserve">(18) The turnover of CAM in the last financial year, according to Article 5 of Royal Decree 261/2008, is, according to the notifying parties, as follows:  </w:t>
        <w:br/>
        <w:t xml:space="preserve">BUSINESS VOLUME OF CAM. 2009  </w:t>
        <w:br/>
        <w:t xml:space="preserve">(Millions of euros)  </w:t>
        <w:br/>
        <w:t xml:space="preserve">WORLD EU SPAIN  </w:t>
        <w:br/>
        <w:t xml:space="preserve">&gt;2,500 &gt;250 &gt;60  </w:t>
        <w:br/>
        <w:t xml:space="preserve">Source: notification  </w:t>
        <w:br/>
        <w:t xml:space="preserve">IV.2 CAJA DE AHORROS DE ASTURIAS (CAJA ASTURIAS)  </w:t>
        <w:br/>
        <w:t xml:space="preserve">(19) CAJASTUR is a savings bank of Asturian origin present in twelve Autonomous Communities. It belongs to the Spanish Confederation of Savings Banks and is integrated into the Deposit Guarantee Fund for Savings Banks (FDG).  </w:t>
        <w:br/>
        <w:t xml:space="preserve">(20) CAJASTUR focuses on retail banking, preferentially addressing the needs of households, local corporations, and SMEs.  </w:t>
        <w:br/>
        <w:t xml:space="preserve">(21) Additionally, and on a residual basis, CAJASTUR is present in the corporate and investment banking sector and operations in the money markets, as well as in insurance activities.  </w:t>
        <w:br/>
        <w:t xml:space="preserve">9 28 branches oriented to business services (2 of them dedicated to Corporate Banking and 3 to Promoters), 92 to foreign clients, and the rest to universal offices.  </w:t>
        <w:br/>
        <w:t xml:space="preserve">(22) CAJASTUR has a network of 358 offices, of which 215 are located in Asturias and the rest in various locations across Spain10.  </w:t>
        <w:br/>
        <w:t xml:space="preserve">(23) Likewise, the CAJASTUR Group has a presence in sectors outside of banking activities, such as telecommunications, real estate, hospitality, and food.  </w:t>
        <w:br/>
        <w:t xml:space="preserve">(24) CAJASTUR is not under the individual or joint control, either directly or indirectly, of any natural or legal person.  </w:t>
        <w:br/>
        <w:t xml:space="preserve">(25) The turnover of CAJASTUR in the last financial year, according to Article 5 of Royal Decree 261/2008, is, according to the notifying parties, as follows:  </w:t>
        <w:br/>
        <w:t xml:space="preserve">BUSINESS VOLUME OF CAJASTUR. 2009  </w:t>
        <w:br/>
        <w:t xml:space="preserve">(Millions of euros)  </w:t>
        <w:br/>
        <w:t xml:space="preserve">WORLD EU SPAIN  </w:t>
        <w:br/>
        <w:t xml:space="preserve">&lt;2,50011 &gt;250 &gt;60  </w:t>
        <w:br/>
        <w:t xml:space="preserve">Source: notification  </w:t>
        <w:br/>
        <w:t xml:space="preserve">IV.3. CAJA DE AHORROS Y MONTE PIEDAD DE EXTREMADURA (CAJA EXTREMADURA)  </w:t>
        <w:br/>
        <w:t xml:space="preserve">(26) CAJA EXTREMADURA is a credit institution of foundational nature and social character, non-profit, focused on retail banking, preferentially addressing the needs of households, local corporations, and SMEs. CAJA EXTREMADURA is subject to the supervision of the Bank of Spain and the Government of Extremadura. It belongs to the Spanish Confederation of Savings Banks and is integrated into the Deposit Guarantee Fund for Savings Banks (FDG).  </w:t>
        <w:br/>
        <w:t xml:space="preserve">(27) Unlike the other participating Cajas, CAJA EXTREMADURA is not present in the corporate banking and/or investment market.  </w:t>
        <w:br/>
        <w:t xml:space="preserve">(28) CAJA EXTREMADURA has a network of 251 offices, distributed across Cáceres and Badajoz, in addition to Madrid, Barcelona, Seville, Salamanca, Córdoba, and Toledo.  </w:t>
        <w:br/>
        <w:t xml:space="preserve">(29) On a residual basis, CAJA EXTREMADURA controls companies engaged in activities such as hospitality. Likewise, CAJA EXTREMADURA holds the […] of the share capital of Corporación Empresarial Caja Extremadura, S.L.U.,  </w:t>
        <w:br/>
        <w:t xml:space="preserve">10 Mainly Ciudad Real, Albacete, Cuenca, Toledo, and Madrid.  </w:t>
        <w:br/>
        <w:t>11 In application of the principles set forth in paragraph 172 of the Consolidated Communication of the Commission on jurisdictional issues in competition, an adjustment has been made to account for the permanent changes in the economic reality of CAJASTUR following the acquisition of the Banking Business of CCM, as this acquisition is not reflected in the audited accounts of CAJASTUR for 2009. Thus, the business volume of the Banking Business of CCM has been added to the business volume of CAJASTUR.</w:t>
      </w:r>
    </w:p>
    <w:p>
      <w:r>
        <w:rPr>
          <w:b/>
        </w:rPr>
        <w:t>[Pages 7–9]</w:t>
      </w:r>
    </w:p>
    <w:p>
      <w:r>
        <w:t xml:space="preserve">DIRECTORATE OF INVESTIGATION  </w:t>
        <w:br/>
        <w:t xml:space="preserve">holding company, which in turn owns dependent companies engaged in private insurance, the marketing, distribution, and promotion of consumer products, and travel agencies.  </w:t>
        <w:br/>
        <w:t xml:space="preserve">(30) CAJA EXTREMADURA is not under the individual or joint control, directly or indirectly, of any natural or legal person.  </w:t>
        <w:br/>
        <w:t xml:space="preserve">(31) The billing of CAJA EXTREMADURA in the last financial year, according to Article 5 of Royal Decree 261/2008, is, according to the notifying parties, as follows:  </w:t>
        <w:br/>
        <w:t xml:space="preserve">BUSINESS VOLUME OF CAJA EXTREMADURA. 2009  </w:t>
        <w:br/>
        <w:t xml:space="preserve">(Millions of euros)  </w:t>
        <w:br/>
        <w:t xml:space="preserve">WORLD EU SPAIN  </w:t>
        <w:br/>
        <w:t xml:space="preserve">&lt;2,500 &gt;250 &gt;60  </w:t>
        <w:br/>
        <w:t xml:space="preserve">Source: notification  </w:t>
        <w:br/>
        <w:t xml:space="preserve">IV.4 CAJA DE AHORROS DE SANTANDER Y CANTABRIA (CAJA CANTABRIA)  </w:t>
        <w:br/>
        <w:t xml:space="preserve">(32) CAJA CANTABRIA is a savings bank of Cantabrian origin, belonging to the Spanish Confederation of Savings Banks and integrated into the Deposit Guarantee Fund for Savings Banks (FDG).  </w:t>
        <w:br/>
        <w:t xml:space="preserve">(33) The activity of CAJA CANTABRIA is fundamentally focused on retail banking and within this, in the family sector. However, since the 1990s, it has developed an intense financial strategy aimed at Cantabrian companies by expanding the offer of specific products and services for this sector.  </w:t>
        <w:br/>
        <w:t xml:space="preserve">(34) Additionally, and on a residual basis, CAJA CANTABRIA is present in the corporate and investment banking sector and operations in the money markets, as well as in insurance activities.  </w:t>
        <w:br/>
        <w:t xml:space="preserve">(35) CAJA CANTABRIA has a network of 172 offices located mainly in Cantabria and in other Autonomous Communities such as Madrid, Castilla y León, Basque Country, Asturias, Aragón, and Catalonia.  </w:t>
        <w:br/>
        <w:t xml:space="preserve">(36) Likewise, and on a residual basis, CAJA CANTABRIA is present in the real estate sector, through various local development companies belonging to the CAJA CANTABRIA Group.  </w:t>
        <w:br/>
        <w:t xml:space="preserve">(37) CAJA CANTABRIA is not under the individual or joint control, directly or indirectly, of any natural or legal person.  </w:t>
        <w:br/>
        <w:t xml:space="preserve">(38) The billing of CAJA CANTABRIA in the last financial year, according to Article 5 of Royal Decree 261/2008, is, according to the notifying parties, as follows:  </w:t>
        <w:br/>
        <w:t xml:space="preserve">BUSINESS VOLUME OF CAJA CANTABRIA. 2009  </w:t>
        <w:br/>
        <w:t xml:space="preserve">(Millions of euros)  </w:t>
        <w:br/>
        <w:t xml:space="preserve">WORLD EU SPAIN  </w:t>
        <w:br/>
        <w:t xml:space="preserve">&lt;2,500 &gt;250 &gt;60  </w:t>
        <w:br/>
        <w:t xml:space="preserve">Source: Notification  </w:t>
        <w:br/>
        <w:t xml:space="preserve">V. MARKETS AFFECTED BY THE OPERATION  </w:t>
        <w:br/>
        <w:t xml:space="preserve">(39) The main areas of activity in which the participants are present are banking services and, in particular, retail banking.  </w:t>
        <w:br/>
        <w:t xml:space="preserve">(40) Existing national12 and community13 precedents have traditionally distinguished three segments within banking services:  </w:t>
        <w:br/>
        <w:t xml:space="preserve">(41) Retail banking. Retail banking services are oriented towards the market of individuals, businesses, and SMEs. Retail banking maintains operations for a broad customer base that conducts a large number of small transactions, thus requiring a wide network of branches to satisfy a large and often dispersed clientele. This segment encompasses various instruments such as deposit collection, the granting of credits and loans, operations related to credit and debit cards, and the marketing of off-balance sheet resources, such as investment funds, pension funds, and insurance.  </w:t>
        <w:br/>
        <w:t xml:space="preserve">(42) The CNC14 has considered in its most recent precedents that, for banking directed at small savers and SMEs, the market may be of a national nature, due to the fact that competitive conditions in the Member States are significantly different, as a result, among other factors, of language differences, consumer preferences for local providers, different business cultures, and the importance that the branch network still holds in that banking segment. It also indicates a gradual decrease in these differences is likely, as a result of the expansion of alternative distribution channels enabled by new technologies, especially in the areas of telephone and Internet banking.  </w:t>
        <w:br/>
        <w:t xml:space="preserve">12 Files C-0050/08 LA CAIXA / MORGAN STANLEY of the CNC; Files N-06098 EL MONTE / CAJA SAN FERNANDO, N-06053 BANCO SABADELL / BANCO URQUIJO, and N-03077 BANCO SABADELL / BANCO ATLÁNTICO of the defunct SDC and Resolutions C51/00 CAJAS NAVARRAS, C43/99 CAIXA VIGO / CAIXA OURENSE / CAIXA PONTEVEDRA, C47/99 BBV / ARGENTARIA, and C39/99 BANCO SANTANDER / BANCO CENTRAL HISPANOAMERICANO of the defunct TDC. Among the most recent: C-196/09 CAIXA CATALUNYA/CAIXA TARRAGONA/CAIXA MANRESA; C-228/10 CAIXA MANLLEU/CAIXA SABADELL/CAIXA TERRASA; C-227/10 GRUPO BANCA CÍVICA; C-238/10 CAJASTUR/CCM.  </w:t>
        <w:br/>
        <w:t xml:space="preserve">13 Cases M.4844 FORTIS / ABN AMRO ASSETS, M.3894 UNICREDITO / HVB, and M.2225 FORTIS / ASR, among others.  </w:t>
        <w:br/>
        <w:t xml:space="preserve">14 Among others, C-0196/09 CAIXA CATALUNYA/CAIXA TARRAGONA/CAIXA MANRESA, C-0228/10 CAIXA MANLLEU/CAIXA SABADELL/CAIXA TERRASA. C-0238/10 CAJASTUR/CCM; C-227/10 GRUPO BANCA CIVICA  </w:t>
        <w:br/>
        <w:t xml:space="preserve">(43) The Natural Zones of CAM are the Autonomous Communities of Valencia, Murcia, and the Balearic Islands; those of CAJASTUR are the Autonomous Communities of Asturias and Castilla la Mancha; that of CAJA EXTREMADURA is the Autonomous Community of Extremadura, and that of CAJA CANTABRIA is the Autonomous Community of Cantabria.  </w:t>
        <w:br/>
        <w:t xml:space="preserve">(44) Furthermore, the participating Cajas also carry out retail banking activities in provincial and/or autonomous areas different from their respective territories of origin.  </w:t>
        <w:br/>
        <w:t xml:space="preserve">(45) In light of the above, the impact of the operation will be analyzed in Spain and in the provinces of Albacete, Alicante, Asturias, Cáceres, Cantabria, Ciudad Real, Cuenca, Murcia, and Toledo, in which the entity resulting from the operation will reach a combined share exceeding [10-20%] in the provincial scope, despite the fact that, for the reasons stated, this Directorate of Investigation considers that, currently, the retail banking market is not of local dimension but national.  </w:t>
        <w:br/>
        <w:t xml:space="preserve">(46) Corporate banking: This segment encompasses banking services to large companies and public bodies and institutions. Its activity is carried out in large financial centers, in few very specialized operational units, and with highly qualified personnel, as the national competition authority15 has pointed out. It includes different products such as deposits, short and long-term loans, guarantee credits, commercial paper management, foreign trade financing, swaps, leasing, and factoring.  </w:t>
        <w:br/>
        <w:t xml:space="preserve">(47) The European Commission has considered, in the cited precedents, that the geographical market is transnational, potentially global in the case of large corporations and money market activities. However, in some national precedents16 it was considered that certain segments of corporate banking and investment banking products may have a national scope, particularly for small and medium-sized enterprises.  </w:t>
        <w:br/>
        <w:t xml:space="preserve">(48) Investment banking and operations in the money markets. It encompasses advisory services on the issuance of instruments - such as shares and other securities, admission to listing on organized markets, mergers and acquisitions or privatizations - operations in financial markets - such as the acquisition and sale of securities in primary and secondary markets, operations in derivatives, operations in foreign exchange markets and other money markets - and private banking services (personalized advice to clients with large assets).  </w:t>
        <w:br/>
        <w:t xml:space="preserve">(49) The cited precedents consider that investment banking is of supranational scope, potentially global in the case of money market activities, and national for certain operations.  </w:t>
        <w:br/>
        <w:t xml:space="preserve">15 File C-0227/10 GRUPO BANCA CÍVICA.  </w:t>
        <w:br/>
        <w:t>16 Resolution of the defunct TDC in the matter N-06053 Banco Sabadell/Banco Urquijo and Report of the CNC in file C-0050/08 La Caixa/Morgan Stanley.</w:t>
      </w:r>
    </w:p>
    <w:p>
      <w:r>
        <w:rPr>
          <w:b/>
        </w:rPr>
        <w:t>[Pages 10–12]</w:t>
      </w:r>
    </w:p>
    <w:p>
      <w:r>
        <w:t>DIRECTORATE OF INVESTIGATION</w:t>
      </w:r>
    </w:p>
    <w:p>
      <w:r>
        <w:t>(50) According to the notifying parties, the participants in the operation coincide in the Spanish market for corporate banking and investment banking and operations in the money markets on a residual basis.</w:t>
      </w:r>
    </w:p>
    <w:p>
      <w:r>
        <w:t>(51) The participants are also present in other markets outside the banking sector, such as the insurance market and the management of pension plans and funds. According to the notifying parties, the presence of the parties in these markets is marginal since their national shares are mostly below [0-10%]17.</w:t>
      </w:r>
    </w:p>
    <w:p>
      <w:r>
        <w:t>(52) Additionally, the participants in the operation are present in other ancillary activities such as those linked to the real estate, tourism, hospitality, food, and telecommunications sectors. According to the notifying parties, the shares of the participants in this operation are below [0-10%] of the national market, and in the case of the hospitality and food sectors, where CAJASTUR is present through associated companies, below [0-10%] of the national market.</w:t>
      </w:r>
    </w:p>
    <w:p>
      <w:r>
        <w:t>VI. MARKET ANALYSIS</w:t>
      </w:r>
    </w:p>
    <w:p>
      <w:r>
        <w:t>VI.1. Supply Structure</w:t>
      </w:r>
    </w:p>
    <w:p>
      <w:r>
        <w:t>(53) According to the notifying parties, the combined share of the participating Cajas in the national retail banking market, in terms of loans and deposits from the resident private sector, amounted to [0-10%] and [0-10%], respectively, in 2009. Regarding the number of offices, the combined share amounted to [0-10%]18.</w:t>
      </w:r>
    </w:p>
    <w:p>
      <w:r>
        <w:t>(54) The share19 of the entity resulting from the operation in the retail banking market would exceed [10-20%] in the provinces of Albacete, Alicante, Asturias, Cáceres, Cantabria, Ciudad Real, Cuenca, Murcia, and Toledo considering the criterion of loans to the resident private sector. In this case, the combined share in 2009 in the mentioned provinces would amount to [20-30%], [20-30%], [30-40%], [30-40%], [30-40%], [10-20%], [40-50%], [10-20%], and [30-40%], respectively.</w:t>
      </w:r>
    </w:p>
    <w:p>
      <w:r>
        <w:t>(55) Regarding deposits from the resident private sector, the combined share in 2009 would exceed [10-20%] in the previously mentioned provinces, except for Ciudad Real20. The combined share in 2009 was [20-30%], [40-50%], [30-40%], [50-60%], [30-40%], [40-50%], [10-20%], and [30-40%], respectively.</w:t>
      </w:r>
    </w:p>
    <w:p>
      <w:r>
        <w:t xml:space="preserve">17 Except in the case of CAM, whose share in the national market in 2009 regarding life insurance amounted to [0-10%] and in relation to pension funds and plans, to [0-10%].  </w:t>
        <w:br/>
        <w:t xml:space="preserve">18 These shares do not differ substantially from those provided by the Bank of Spain as of December 2009: [0-10%] in loans and [0-10%] in deposits.  </w:t>
        <w:br/>
        <w:t xml:space="preserve">19 The shares provided by the Bank of Spain, updated to December 2009, are slightly lower in both loans and deposits.  </w:t>
        <w:br/>
        <w:t>20 Where the combined share amounted to [10-20%].</w:t>
      </w:r>
    </w:p>
    <w:p>
      <w:r>
        <w:t>(56) Finally, considering the criterion of the number of branches, the combined share in 2009 would exceed [10-20%] in the mentioned provinces, except for Ciudad Real and Murcia21. The combined share was [20-30%], [10-20%], [20-30%], [30-40%], [20-30%], [30-40%], and [20-30%], respectively.</w:t>
      </w:r>
    </w:p>
    <w:p>
      <w:r>
        <w:t>(57) According to the notifying parties, in all the indicated provinces, the addition of the share resulting from the operation is below [0-10%], being in most of them below [0-10%].</w:t>
      </w:r>
    </w:p>
    <w:p>
      <w:r>
        <w:t>(58) Likewise, according to the notifying parties, in the corporate banking market, the individual share of the participating Cajas is below [0-10%] in Spain, except for CAJA EXTREMADURA, which is not present.</w:t>
      </w:r>
    </w:p>
    <w:p>
      <w:r>
        <w:t>(59) In the investment banking market in Spain, the individual share of CAJA CANTABRIA and CAJASTUR is below [0-10%], that of CAM is between [0-10%], and CAJA EXTREMADURA is not present.</w:t>
      </w:r>
    </w:p>
    <w:p>
      <w:r>
        <w:t>(60) According to the notifying parties, the individual share of CAM in 2009, in the national market regarding life and non-life insurance amounts to [0-10%] and [0-10%], respectively. In relation to pension funds and plans, its share in the national market in 2009 amounts to [0-10%]. Regarding CAJASTUR, its presence in the insurance market is marginal and in any case below [0-10%]. CAJA EXTREMADURA and CAJA CANTABRIA also present national market shares below [0-10%] in these markets.</w:t>
      </w:r>
    </w:p>
    <w:p>
      <w:r>
        <w:t>(61) Regarding ancillary activities such as those linked to the real estate, tourism, hospitality, food, and telecommunications sectors, according to the notifying parties, the share of the participants is below [0-10%] of the national market.</w:t>
      </w:r>
    </w:p>
    <w:p>
      <w:r>
        <w:t>VI.2 Demand Structure and Distribution Channels</w:t>
      </w:r>
    </w:p>
    <w:p>
      <w:r>
        <w:t>(62) According to the notifying parties, the demand for banking products, in general, is closely related to national savings, with its main characteristic being dispersion, as it is made up of individual savers.</w:t>
      </w:r>
    </w:p>
    <w:p>
      <w:r>
        <w:t>(63) The notifying parties state that there is a certain degree of customer loyalty, especially to the extent that the choice of banking entity by consumers often responds to factors other than price, such as the location of branches, the number of ATMs, or the personal relationships established with customers. The emergence of alternative retail activity channels such as telephone and online banking, as well as the increasing competition in the sector, tends to diminish the importance of these factors in customer loyalty.</w:t>
      </w:r>
    </w:p>
    <w:p>
      <w:r>
        <w:t>(64) Regarding channels and distribution networks, retail banking has an extensive network of branches that are decisive for attracting customers. The growing implementation of electronic banking (Internet and telephone banking) is contributing to the creation of alternative distribution channels.</w:t>
      </w:r>
    </w:p>
    <w:p>
      <w:r>
        <w:t>(65) The notifying parties use a multichannel network for the distribution of their products. Thus, all of them have bank offices, ATMs, and an online banking service.</w:t>
      </w:r>
    </w:p>
    <w:p>
      <w:r>
        <w:t>VI.3 Barriers to Entry and Potential Competition</w:t>
      </w:r>
    </w:p>
    <w:p>
      <w:r>
        <w:t>(66) The notifying parties argue that the liberalization of the Spanish financial system, as a result of European harmonization, has led to the elimination of many barriers to entry in the banking sector. All operators have access to the necessary technology, and price information is complete and available to consumers and entities, which implies greater transparency in the sector.</w:t>
      </w:r>
    </w:p>
    <w:p>
      <w:r>
        <w:t>(67) There are no legal barriers to entry beyond those arising from the requirements for the establishment of a financial entity; access to the market is free.</w:t>
      </w:r>
    </w:p>
    <w:p>
      <w:r>
        <w:t>(68) However, the notifying parties point out that in the retail banking segment, where physical presence and proximity to the customer are of considerable importance, restrictions still persist that limit the ability to compete, especially arising from the need to have a distribution network for their products, although it cannot be considered an insurmountable barrier.</w:t>
      </w:r>
    </w:p>
    <w:p>
      <w:r>
        <w:t>(69) Furthermore, the expansion of telephone and Internet banking is beginning to counteract the need for a dense network of bank branches. In fact, in recent years, new competitors have entered the market that operate solely online or use it as their main channel, such as ING Direct, OpenBank, Uno-e, e-Popular, or Activo Bank.</w:t>
      </w:r>
    </w:p>
    <w:p>
      <w:r>
        <w:t>VII. ASSESSMENT</w:t>
      </w:r>
    </w:p>
    <w:p>
      <w:r>
        <w:t>(70) The notified operation consists of the concentration of CAM, CAJASTUR, CAJA EXTREMADURA, and CAJA CANTABRIA through an Institutional Protection System in which the Cajas will maintain their own legal personality but will integrate their previously independent businesses and activities, transferring the management and direction of the same to a Central Entity, which will be constituted as a newly created bank, participated by the four promoting Cajas of the SIP.</w:t>
      </w:r>
    </w:p>
    <w:p>
      <w:r>
        <w:t>(71) The effects of the operation are focused on the banking sector and especially on retail banking. It is not expected that the operation will modify the competitive structure of this market across the national territory, where the combined shares are between [0-10%], considering loans, deposits, and the number of offices, respectively.</w:t>
      </w:r>
    </w:p>
    <w:p>
      <w:r>
        <w:t>(72) Given the special impact of this operation on the natural territories of the participating Cajas, this Directorate of Investigation has analyzed</w:t>
      </w:r>
    </w:p>
    <w:p>
      <w:r>
        <w:rPr>
          <w:b/>
        </w:rPr>
        <w:t>[Pages 13–13]</w:t>
      </w:r>
    </w:p>
    <w:p>
      <w:r>
        <w:t>DIRECTORATE OF INVESTIGATION</w:t>
      </w:r>
    </w:p>
    <w:p>
      <w:r>
        <w:t>also its local effects, concluding that no competition problems are to be expected in the provinces of Albacete, Alicante, Asturias, Cáceres, Cantabria, Ciudad Real, Cuenca, Murcia, and Toledo, where the joint shares are above [10-20%] but with additions below [0-10%], being in the majority of them below [0-10%].</w:t>
      </w:r>
    </w:p>
    <w:p>
      <w:r>
        <w:t>(73) Consequently, this Directorate of Investigation, as well as the Bank of Spain, considers that the operation does not hinder the maintenance of effective competition in the analyzed markets.</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