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https://www.cnmc.es/expedientes/c028210</w:t>
      </w:r>
    </w:p>
    <w:p>
      <w:r>
        <w:t>Pages translated : 1</w:t>
      </w:r>
    </w:p>
    <w:p/>
    <w:p>
      <w:r>
        <w:rPr>
          <w:b/>
        </w:rPr>
        <w:t>[Pages 1–1]</w:t>
      </w:r>
    </w:p>
    <w:p>
      <w:r>
        <w:t>RESOLUTION (File No. C-0282/10, GAS NATURAL/TRANSPORTISTA SUREUROPEA/DISTRIBUIDORA SUREUROPEA/TRANSMANCHEGA DE GAS)</w:t>
      </w:r>
    </w:p>
    <w:p>
      <w:r>
        <w:t>COUNCIL</w:t>
        <w:br/>
        <w:t>Mr. Luis Berenguer Fuster, President</w:t>
        <w:br/>
        <w:t>Ms. Pilar Sánchez Núñez, Vice President</w:t>
        <w:br/>
        <w:t>Mr. Julio Costas Comesaña, Councilor</w:t>
        <w:br/>
        <w:t>Ms. Mª Jesús González López, Councilor</w:t>
        <w:br/>
        <w:t>Ms. Inmaculada Gutiérrez Carrizo, Councilor</w:t>
      </w:r>
    </w:p>
    <w:p>
      <w:r>
        <w:t>In Madrid, on January 19, 2011.</w:t>
      </w:r>
    </w:p>
    <w:p>
      <w:r>
        <w:t>Having reviewed the file processed in accordance with Law 15/2007, of July 3, on the Defense of Competition, concerning the acquisition by several subsidiaries of GAS NATURAL SDG S.A. of exclusive control over certain assets belonging to the companies TRANSPORTISTA SUREUROPEA DE GAS S.A.U., DISTRIBUIDORA SUREUROPEA DE GAS S.A.U., and TRANSMANCHEGA DE GAS S.A.U. (File No. C/0282/10), and in agreement with the report and proposal submitted by the Directorate of Investigation, the Council of the National Competition Commission has resolved, in application of Article 57.2.a) of the aforementioned Law, to authorize the said concentration operation in the first phase.</w:t>
      </w:r>
    </w:p>
    <w:p>
      <w:r>
        <w:t>This Resolution shall be communicated to the Directorate of Investigation of the National Competition Commission and notified to the interested parties, informing them that it concludes the administrative procedure and that a contentious-administrative appeal may be filed against it before the National Court, within a period of two months from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