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https://www.cnmc.es/expedientes/c028310</w:t>
      </w:r>
    </w:p>
    <w:p>
      <w:r>
        <w:t>Pages translated : 14</w:t>
      </w:r>
    </w:p>
    <w:p/>
    <w:p>
      <w:r>
        <w:rPr>
          <w:b/>
        </w:rPr>
        <w:t>[Pages 1–3]</w:t>
      </w:r>
    </w:p>
    <w:p>
      <w:r>
        <w:t xml:space="preserve">NATIONAL COMMISSION  </w:t>
        <w:br/>
        <w:t xml:space="preserve">FOR COMPETITION  </w:t>
        <w:br/>
        <w:t xml:space="preserve">RESOLUTION (File C-0283/10, CONSUM/VIDAL EUROPA - Assets)  </w:t>
        <w:br/>
        <w:t xml:space="preserve">COUNCIL  </w:t>
        <w:br/>
        <w:t xml:space="preserve">Mr. Luis Berenguer Fuster, President  </w:t>
        <w:br/>
        <w:t xml:space="preserve">Ms. Pilar Sánchez Núñez, Vice-President  </w:t>
        <w:br/>
        <w:t xml:space="preserve">Mr. Julio Costas Comesaña, Councilor  </w:t>
        <w:br/>
        <w:t xml:space="preserve">Ms. Mª Jesús González López, Councilor  </w:t>
        <w:br/>
        <w:t xml:space="preserve">Ms. Inmaculada Gutiérrez Carrizo, Councilor  </w:t>
        <w:br/>
        <w:t xml:space="preserve">In Madrid, on October 6, 2010.  </w:t>
        <w:br/>
        <w:t xml:space="preserve">Having reviewed the file processed in accordance with Law 15/2007, of July 3, on the Defense of Competition, regarding the acquisition by CONSUM S. COOP V. of exclusive control of various supermarkets of VIDAL EUROPA S.A. in several locations in the Valencian Community (File C/0283/10),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C/0283/10 CONSUM / VIDAL EUROPA (Assets)  </w:t>
        <w:br/>
        <w:t xml:space="preserve">I. BACKGROUND  </w:t>
        <w:br/>
        <w:t xml:space="preserve">(1) On September 21, 2010, a notification of the concentration operation consisting of the acquisition by Consum, S. Coop. V. (hereinafter CONSUM) of exclusive control of various supermarkets of VIDAL EUROPA, S.A. (hereinafter VIDAL) in several locations in the Valencian Community was received by this Directorate of Investigation.  </w:t>
        <w:br/>
        <w:t xml:space="preserve">(2) This notification was made by CONSUM, as established in Article 9 of Law 15/2007, of July 3, on the Defense of Competition (LDC), for exceeding the thresholds established in Article 8.1.a) and b). The provisions of Royal Decree 261/2008, of February 22, which approves the Regulation on the Defense of Competition (RDC), apply to this operation.  </w:t>
        <w:br/>
        <w:t xml:space="preserve">(3) Article 57.2.c) of the LDC establishes that the Council of the National Commission for Competition (CNC) shall issue a resolution in the first phase in which it may agree to initiate the second phase of the procedure when it considers that the concentration may hinder the maintenance of effective competition in all or part of the national market.  </w:t>
        <w:br/>
        <w:t xml:space="preserve">(4) Likewise, Article 38.2 of the LDC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  </w:t>
        <w:br/>
        <w:t xml:space="preserve">(5) CONSUM notified on July 30, 2010, a concentration operation in which it acquired supermarkets from VIDAL, being processed in file C/0260/10 and authorized by the Council of the CNC on September 15, 2010. In this resolution, despite the notification of the acquisition of 23 supermarkets, 5 were excluded from the scope of the operation because the acquisition was made with a one-year lease contract with a purchase option at expiration, which, in the opinion of the CNC, did not result in a stable modification of the control structure of these supermarkets.  </w:t>
        <w:br/>
        <w:t xml:space="preserve">(6) The deadline to agree to initiate the second phase of the procedure is October 21, 2010, inclusive. After this date, the notified operation will be considered tacitly authorized.  </w:t>
        <w:br/>
        <w:t xml:space="preserve">II. NATURE OF THE OPERATION  </w:t>
        <w:br/>
        <w:t>(7) The notified concentration operation consists of the acquisition by CONSUM of exclusive control of 5 supermarkets in various locations (Carlet, Valencia, Beniganim, San Antonio de Benagéber, and Alcoy) in the Valencian Community belonging to VIDAL.</w:t>
      </w:r>
    </w:p>
    <w:p>
      <w:r>
        <w:t xml:space="preserve">DIRECTORATE OF INVESTIGATION  </w:t>
        <w:br/>
        <w:t xml:space="preserve">(8) The concentration operation is executed through a lease agreement dated July 27, 2010, with an addendum dated September 20, 2010, which was initially for one year and subsequently extended to ten, subject to a suspensive condition of prior authorization by the CNC.  </w:t>
        <w:br/>
        <w:t xml:space="preserve">(9) Previously, CONSUM and VIDAL had signed three purchase agreements affecting 18 establishments, and the purchase was notified on July 30, 2010, giving rise to file C/0260/10. This first operation has already been analyzed by the CNC and was authorized by resolution dated September 15, 2010.  </w:t>
        <w:br/>
        <w:t xml:space="preserve">(10) In view of the above, since the industrial lease of the contract dated July 27, 2010, has been extended to ten years, there is a stable modification in the control structure of the affected supermarkets, and therefore there is a notifiable concentration operation in relation to them, in accordance with the provisions of Article 7.1.b) LDC.  </w:t>
        <w:br/>
        <w:t xml:space="preserve">III. APPLICABILITY OF LAW 15/2007 ON THE DEFENSE OF COMPETITION  </w:t>
        <w:br/>
        <w:t xml:space="preserve">(11) According to the notifier, the operation does not fall within the scope of Regulation (EC) No. 139/2004 of the Council, of January 20, on the control of concentrations between undertakings, for not reaching the thresholds described in Article 1.  </w:t>
        <w:br/>
        <w:t xml:space="preserve">(12) However, the notified operation meets the requirements established by the LDC for its notification, as it exceeds the thresholds established in Article 8.1.a) and b) thereof.  </w:t>
        <w:br/>
        <w:t xml:space="preserve">IV. PARTICIPATING COMPANIES  </w:t>
        <w:br/>
        <w:t xml:space="preserve">IV.1. Consum, S. Coop. V. (CONSUM)  </w:t>
        <w:br/>
        <w:t xml:space="preserve">(13) CONSUM is a cooperative entity based in the Valencian Community.  </w:t>
        <w:br/>
        <w:t xml:space="preserve">(14) The activities of CONSUM consist of the retail distribution of daily consumer goods through the brands "Consum," "Consum Basic," and "Charter," in a geographical area that includes the Valencian Community, Catalonia, Murcia, Castilla-La Mancha, Aragón, and Andalusia.  </w:t>
        <w:br/>
        <w:t xml:space="preserve">(15) Currently, CONSUM carries out its activities through 575 fully owned commercial establishments and 149 franchises organized in different formats and with different brands, active in the retail distribution sector of daily consumer goods:  </w:t>
        <w:br/>
        <w:t xml:space="preserve">- Franchises CHARTER (&lt;500 m2)  </w:t>
        <w:br/>
        <w:t xml:space="preserve">- Supermarkets CONSUM Basic (&lt;1,000 m2)  </w:t>
        <w:br/>
        <w:t>- Hypermarkets CONSUM (&lt;6,000 m2)</w:t>
      </w:r>
    </w:p>
    <w:p>
      <w:r>
        <w:rPr>
          <w:b/>
        </w:rPr>
        <w:t>[Pages 4–6]</w:t>
      </w:r>
    </w:p>
    <w:p>
      <w:r>
        <w:t xml:space="preserve">INVESTIGATION DIRECTORATE  </w:t>
        <w:br/>
        <w:t xml:space="preserve">(16) The turnover of the acquirer in the last financial year according to Article 5 of the Competition Defense Regulation, approved by Royal Decree 261/2008, of February 22, is, according to the notifier, as follows:  </w:t>
        <w:br/>
        <w:t xml:space="preserve">TURNOVER OF CONSUM (Euros - fiscal year 2009)  </w:t>
        <w:br/>
        <w:t xml:space="preserve">GLOBAL EU SPAIN  </w:t>
        <w:br/>
        <w:t xml:space="preserve">[&lt;2,500]1 [&gt;250] [&gt;60]  </w:t>
        <w:br/>
        <w:t xml:space="preserve">Source: Notification  </w:t>
        <w:br/>
        <w:t xml:space="preserve">IV.2. VIDAL EUROPA S.A. (VIDAL)  </w:t>
        <w:br/>
        <w:t xml:space="preserve">(17) Vidal is a company with its registered office in the Valencian Community whose activity is dedicated to the commercial distribution of daily consumer goods both wholesale and retail. This latter activity, initiated in the year 2000, is carried out through Tiendas Vidal, which has the Guest brand for food products and the Vidal brand for non-food items. The Tiendas Vidal centers are located in the provinces of Valencia, Alicante, and Albacete.  </w:t>
        <w:br/>
        <w:t xml:space="preserve">(18) To the extent that the present operation and the one that gave rise to file C/0260/10 have occurred between the same parties within a period of less than two years, for the purposes of the sales volume threshold, according to Article 5.6 of the RDC, the establishments acquired in the two concentration operations must be counted.  </w:t>
        <w:br/>
        <w:t xml:space="preserve">(19) Therefore, the turnover of the 23 establishments acquired in the two concentration operations, in the last financial year, according to Article 5 of the Competition Defense Regulation was, according to the notifier, as follows:  </w:t>
        <w:br/>
        <w:t xml:space="preserve">TURNOVER OF ACQUIRED ESTABLISHMENTS  </w:t>
        <w:br/>
        <w:t xml:space="preserve">(Euros – fiscal year 2009)  </w:t>
        <w:br/>
        <w:t xml:space="preserve">GLOBAL EU SPAIN  </w:t>
        <w:br/>
        <w:t xml:space="preserve">[&lt;2,500] [&lt;250] [&gt;60]  </w:t>
        <w:br/>
        <w:t xml:space="preserve">Source: Notification  </w:t>
        <w:br/>
        <w:t xml:space="preserve">V. MARKETS AFFECTED BY THE OPERATION  </w:t>
        <w:br/>
        <w:t xml:space="preserve">V.1. Product Market  </w:t>
        <w:br/>
        <w:t xml:space="preserve">(20) The activities of the acquiring group and the acquired assets focus on the retail commercial distribution of daily consumer goods in a self-service regime.  </w:t>
        <w:br/>
        <w:t xml:space="preserve">1 Information in brackets indicates that the exact content has been declared confidential  </w:t>
        <w:br/>
        <w:t>3</w:t>
      </w:r>
    </w:p>
    <w:p>
      <w:r>
        <w:t xml:space="preserve">INVESTIGATION DIRECTORATE  </w:t>
        <w:br/>
        <w:t xml:space="preserve">(21) Additionally, the parties engage in procurement activities, so this Investigation Directorate will take into account the upstream market for the supply of daily consumer goods.  </w:t>
        <w:br/>
        <w:t xml:space="preserve">VI.1.1. Retail Distribution Market of Daily Consumer Goods  </w:t>
        <w:br/>
        <w:t xml:space="preserve">(22) The retail commercial distribution activity consists of selling a more or less diversified range of food and non-food products (drugstore, perfumery, home, hygiene, etc.) for daily consumption, in premises of various characteristics and sizes.  </w:t>
        <w:br/>
        <w:t xml:space="preserve">(23) When delimiting the relevant market, it is necessary to consider whether the retail distribution market for daily consumer goods includes all forms of distribution or whether it is appropriate to distinguish narrower markets based on, among other possible criteria, the breadth of the product assortment offered, the size of the sales area, or the services provided.  </w:t>
        <w:br/>
        <w:t xml:space="preserve">(24) The Spanish2 and community3 competition authorities have considered that the retail distribution market in self-service format, which would include various forms of retail sales without personalized assistance, constitutes a product market distinct from the sale of products in traditional format (small surfaces and personalized attention) and from the sale through specialized establishments, due to the asymmetric competition existing between them.  </w:t>
        <w:br/>
        <w:t xml:space="preserve">(25) Ultimately, stores with a more limited offer are not considered equivalent to purchases made in a supermarket or other types of retail stores, where most of the products needed can be purchased in a single point of sale (one stop shopping).  </w:t>
        <w:br/>
        <w:t xml:space="preserve">(26) In this sense, the retail distribution market for daily consumer products in self-service format would be composed of all those sales areas where it is possible to supply all types of daily consumer goods, both food and non-food, without the intermediation of a person responsible for serving customers.  </w:t>
        <w:br/>
        <w:t xml:space="preserve">(27) Specifically, this market would include proximity services (self-services with sales areas of less than 400 m2), medium-sized surfaces (supermarkets with sales areas between 400 m2 and 2,500 m2), large surfaces (hypermarkets with a retail sales area greater than 2,500 m2), and discount stores (stores with a limited range of high-turnover products and widely consumed, usually of the distributor's brand and at reduced prices).  </w:t>
        <w:br/>
        <w:t xml:space="preserve">2 See economic concentration files N-03053 CAPRABO / ALCOSTO, N-06076 CARREFOUR / DINOSOL, N-07060 EROSKI / CAPRABO, C-0063/08 DINOSOL / SUPERMERCADOS HERDISA and C-0001/07 DIA/PLUS among others.  </w:t>
        <w:br/>
        <w:t xml:space="preserve">3 Among others, the cases M.946 INTERMARCHÉ/SPAR; M.991 PROMODES/CASINO; M.1221 REWE/MEINL, M.1087 PROMODES/SIMAGO  </w:t>
        <w:br/>
        <w:t>4</w:t>
      </w:r>
    </w:p>
    <w:p>
      <w:r>
        <w:t xml:space="preserve">INVESTIGATION DIRECTORATE  </w:t>
        <w:br/>
        <w:t xml:space="preserve">V.1.2. Supply Market of Daily Consumer Goods  </w:t>
        <w:br/>
        <w:t xml:space="preserve">(28) The supply market includes the sale of current consumer goods by the producers of these goods to their customers: the wholesale and retail distributors of these products.  </w:t>
        <w:br/>
        <w:t xml:space="preserve">(29) From the demand perspective, the different products or groups of products are not substitutes for each other, so each of them could constitute a different market. However, considering the homogeneity of demand, which does not substantially vary from one group of products to another, the European Commission has considered that, in certain cases, it would suffice to assess the purchasing power of the parties in relation to the entirety of daily consumer goods4.  </w:t>
        <w:br/>
        <w:t xml:space="preserve">(30) In the case at hand, both CONSUM and VIDAL procure the daily consumer goods that they then resell to final consumers through different purchasing centers.  </w:t>
        <w:br/>
        <w:t xml:space="preserve">V. 2. Geographic Market  </w:t>
        <w:br/>
        <w:t xml:space="preserve">V.2.1. Retail Distribution Market of Daily Consumer Goods  </w:t>
        <w:br/>
        <w:t xml:space="preserve">(31) As determined in national precedents, the geographic scope of the retail distribution market for daily consumer goods in self-service format is local.  </w:t>
        <w:br/>
        <w:t xml:space="preserve">(32) From the consumer's perspective, the choice of a point of sale will be conditioned by the geographic area to which it is reasonable to travel to make a specific purchase. Hence, for practical reasons, the final consumer will choose a point of sale close to their home for small purchases, while for larger purchases, they will opt for a larger radius of action.  </w:t>
        <w:br/>
        <w:t xml:space="preserve">(33) In principle, a larger territorial analysis seems appropriate in the case of locations that have a large commercial surface nearby and in those where there is proven commercial dependence with other nearby populations. Such consideration also makes sense in residential areas, where the use of vehicles is part of the daily life of its inhabitants, as car trips for most of their activities are common.  </w:t>
        <w:br/>
        <w:t xml:space="preserve">(34) The defunct Competition Defense Tribunal (TDC), in the Reports on Large Surfaces (GS) that it has been conducting since the entry into force of Law 7/1996 on Retail Trade Organization, when analyzing the competitive conditions existing in the market where the new GS will operate, delineates the relevant geographic market based on isochrones5. Specifically, the defunct  </w:t>
        <w:br/>
        <w:t xml:space="preserve">4 Decision Case M.991 PROMODES/CASINO, case M.946 INTERMARCHÉ/SPAR and case M.1087 PROMODES/SIMAGO.  </w:t>
        <w:br/>
        <w:t xml:space="preserve">5 The TDC defines the isochrone as an imaginary line that connects populations that are a certain travel time away from a shopping center.  </w:t>
        <w:br/>
        <w:t>5</w:t>
      </w:r>
    </w:p>
    <w:p>
      <w:r>
        <w:rPr>
          <w:b/>
        </w:rPr>
        <w:t>[Pages 7–9]</w:t>
      </w:r>
    </w:p>
    <w:p>
      <w:r>
        <w:t xml:space="preserve">INVESTIGATION DIRECTORATE  </w:t>
        <w:br/>
        <w:t xml:space="preserve">TDC considers that the isochrone will be 15 minutes, assuming that the GS is located in an urban center, extending up to 30 minutes when the GS is situated in rural areas or when there is no other GS in the considered area.  </w:t>
        <w:br/>
        <w:t xml:space="preserve">(35) Furthermore, as stated by the European Commission in the precedent M.1684 Carrefour/Promodes, as a general rule, the areas of influence are geographically delimited by a radius that does not exceed 30 minutes of travel by car, knowing that this radius will vary based on various criteria such as the size of the point of sale (which depends on the variety of the assortment and items), the commercial infrastructures associated with it, the communication routes, and the quality of its surroundings.  </w:t>
        <w:br/>
        <w:t xml:space="preserve">(36) Thus, the exact delimitation of the local market scope of retail distribution must be carried out on a case-by-case basis, starting from those centers where the affected companies operate and taking into account the type of sales area and the characteristics of its environment.  </w:t>
        <w:br/>
        <w:t xml:space="preserve">(37) In the present case, it will be considered that the relevant geographical scope for the analysis of the present operation is the retail distribution market of daily consumer goods in self-service format, taking as reference the localities where the five supermarkets leased for ten years are located: Alcoy, Beniganim, Carlet, Valencia, and San Antonio de Benagéber.  </w:t>
        <w:br/>
        <w:t xml:space="preserve">(38) The notifier has presented data for isochrones of 15-20 minutes. In any case, regardless of the isochrone used, the operation does not raise competition issues, so it is not necessary to pronounce on the exact definition of these relevant geographical scopes. The exception would be Beniganim, where it is necessary to expressly accept a 20-minute isochrone that includes Xátiva as a point of attraction, to rule out the existence of competition issues.  </w:t>
        <w:br/>
        <w:t xml:space="preserve">V.2.2. Supply Market of Daily Consumer Goods  </w:t>
        <w:br/>
        <w:t xml:space="preserve">(39) The competition authorities have established in the aforementioned precedents that the supply of daily consumer products by retail distribution companies is usually carried out on a national scale, either through a purchasing center6 or through the purchasing structure of the group to which these companies belong. The notifier also proposes a relevant national geographical scope.  </w:t>
        <w:br/>
        <w:t xml:space="preserve">(40) Considering that, according to the information provided, the joint market share of the parties in the national supply market is 4.5%7 for the purposes of the analysis of the present operation, this Investigation Directorate will not consider the national supply market of daily consumer goods as relevant for the purposes of this file.  </w:t>
        <w:br/>
        <w:t xml:space="preserve">VI. MARKET ANALYSIS  </w:t>
        <w:br/>
        <w:t xml:space="preserve">VI.1. Supply Structure  </w:t>
        <w:br/>
        <w:t xml:space="preserve">(41) According to data collected by ALIMARKET in its latest yearbook on the commercial distribution sector8, the national organized retail distribution market is constituted by 19,106 establishments and/or sections of fast-moving consumer goods9, with a total retail sales area of 9,899,332 m2. Compared to the previous year, there has been a decline in retail area of 13.2% and the number of establishments has experienced a reduction of 1.63%.  </w:t>
        <w:br/>
        <w:t xml:space="preserve">(42) The following table lists the 10 main operators engaged in retail distribution of daily consumer goods in self-service mode in Spain, according to sales area (m2)10.  </w:t>
        <w:br/>
        <w:t xml:space="preserve">8 ALIMARKET No. 239 May 2010.  </w:t>
        <w:br/>
        <w:t xml:space="preserve">9 Fast-moving consumer goods or "FMCG" are considered to be the commercial area that hypermarkets and large supermarkets dedicate to the sale of FMCG, including dry and fresh food, household cleaning products, and personal care items, as well as light bazaar items. Sections of large stores offering large household equipment, appliances, textiles, automotive products, toys, or other leisure and seasonal items are excluded.  </w:t>
        <w:br/>
        <w:t>10 Since 2003, ALIMARKET has used a series of parameters to calculate the retail area that large stores (hypermarkets and large supermarkets) dedicate to the sale of fast-moving consumer goods. Generally, ALIMARKET attributes 50% of the area of hypermarkets with a total sales area exceeding 5,000 m2 to the sale of these products, 60% of the area of hypermarkets between 2,500 and 5,000 m2, and 80% of the area of large supermarkets with a size between 2,000 and 2,500 m2.</w:t>
      </w:r>
    </w:p>
    <w:p>
      <w:r>
        <w:t xml:space="preserve">INVESTIGATION DIRECTORATE  </w:t>
        <w:br/>
        <w:t xml:space="preserve">National retail distribution market in self-service format in 2009  </w:t>
        <w:br/>
        <w:t xml:space="preserve">No. of establishments Area (m2) Share (of area)  </w:t>
        <w:br/>
        <w:t xml:space="preserve">Mercadona 1,264 1,639,185 16.5%  </w:t>
        <w:br/>
        <w:t xml:space="preserve">Grupo Carrefour 2,929 1,351,608 13.6%  </w:t>
        <w:br/>
        <w:t xml:space="preserve">Eroski 1,541 997,180 10.1%  </w:t>
        <w:br/>
        <w:t xml:space="preserve">Lidl 495 427,336 4.3%  </w:t>
        <w:br/>
        <w:t xml:space="preserve">Consum 574 418,695 4.2%  </w:t>
        <w:br/>
        <w:t xml:space="preserve">El Corte Inglés 319 337,689 3.4%  </w:t>
        <w:br/>
        <w:t xml:space="preserve">Coviran 2,130 329,583 3.3%  </w:t>
        <w:br/>
        <w:t xml:space="preserve">Grupo El Árbol 427 289,082 2.9%  </w:t>
        <w:br/>
        <w:t xml:space="preserve">Dinosol 389 272,006 2.7%  </w:t>
        <w:br/>
        <w:t xml:space="preserve">Aldi 217 205,701 2.1%  </w:t>
        <w:br/>
        <w:t xml:space="preserve">Condis 424 185,588  </w:t>
        <w:br/>
        <w:t xml:space="preserve">Supermercat 1.9%  </w:t>
        <w:br/>
        <w:t xml:space="preserve">Gadisa 384 179,058 1.8%  </w:t>
        <w:br/>
        <w:t xml:space="preserve">Alimerka 220 155,923 1.6%  </w:t>
        <w:br/>
        <w:t xml:space="preserve">Unide 721 138,800 1.4%  </w:t>
        <w:br/>
        <w:t xml:space="preserve">Grupo Auchan 207 115,303 1.2%  </w:t>
        <w:br/>
        <w:t xml:space="preserve">Assets  </w:t>
        <w:br/>
        <w:t xml:space="preserve">23 32,237 0.3%  </w:t>
        <w:br/>
        <w:t xml:space="preserve">Acquired  </w:t>
        <w:br/>
        <w:t xml:space="preserve">Others 6,810 2,811,410 28.4%  </w:t>
        <w:br/>
        <w:t xml:space="preserve">TOTAL 19,106 9,899,332 100%  </w:t>
        <w:br/>
        <w:t xml:space="preserve">Source: Notifier with data from ALIMARKET (No. 239, May 2010).  </w:t>
        <w:br/>
        <w:t xml:space="preserve">(43) According to the data provided by the notifier, the position of CONSUM in the Comunidad Valenciana with the operation reaches a resulting share of 19.8%.  </w:t>
        <w:br/>
        <w:t xml:space="preserve">VI.1.1. Municipality of Alcoy and its area of influence  </w:t>
        <w:br/>
        <w:t>(44) In the area of influence of Alcoy, defended by the notifier, which would also include the municipalities of Ibi, Concentaina, Muro de Alcoy, and Onil, a joint share of 16.5% results, increasing its participation by 3.5 points, with other operators such as Mercadona (with 23.6%) and Carrefour (with 14.1%). This structure is not significantly altered if a more restricted market definition is considered.</w:t>
      </w:r>
    </w:p>
    <w:p>
      <w:r>
        <w:rPr>
          <w:b/>
        </w:rPr>
        <w:t>[Pages 10–12]</w:t>
      </w:r>
    </w:p>
    <w:p>
      <w:r>
        <w:t xml:space="preserve">INVESTIGATION DIRECTORATE  </w:t>
        <w:br/>
        <w:t xml:space="preserve">Retail Distribution in the 20-Minute Drive Isochron  </w:t>
        <w:br/>
        <w:t xml:space="preserve">Area of Influence of Alcoy  </w:t>
        <w:br/>
        <w:t xml:space="preserve">Establishment Area (m2) Share (%)  </w:t>
        <w:br/>
        <w:t xml:space="preserve">Consum 6,004 13.0  </w:t>
        <w:br/>
        <w:t xml:space="preserve">Acquired Assets 1,600 3.5  </w:t>
        <w:br/>
        <w:t xml:space="preserve">Joint Share 7,604 16.5  </w:t>
        <w:br/>
        <w:t xml:space="preserve">Mercadona 10,894 23.6  </w:t>
        <w:br/>
        <w:t xml:space="preserve">Eroski 6,133 13.2  </w:t>
        <w:br/>
        <w:t xml:space="preserve">Dia 1,708 3.7  </w:t>
        <w:br/>
        <w:t xml:space="preserve">Aldi 1,350 2.9  </w:t>
        <w:br/>
        <w:t xml:space="preserve">LIDL 1,100 2.4  </w:t>
        <w:br/>
        <w:t xml:space="preserve">Others 11,535 25.0  </w:t>
        <w:br/>
        <w:t xml:space="preserve">Total 46,174 100%  </w:t>
        <w:br/>
        <w:t xml:space="preserve">Source: Notifier  </w:t>
        <w:br/>
        <w:t xml:space="preserve">VI.1.2. Municipality of Beniganim and its Area of Influence  </w:t>
        <w:br/>
        <w:t xml:space="preserve">(45) In the 15-minute isochrone around Beniganim, the populations of Quatretonda, Llutxent, La Pobla del Duc, Genovés, and Alfarrasí are included; applying this isochrone, the resulting market share is 65%. However, in this case, the peculiarities of this population must be considered, as it is located in a sparsely populated area where Xátiva acts as a pole of attraction, which, considering other precedents, justifies the use of a 20-minute isochrone that includes Xátiva.  </w:t>
        <w:br/>
        <w:t>(46) As can be seen in the attached table, the market share applying a 20-minute isochrone reduces the market share to 24.2%, and the chains Carrefour, Eroski, and Mercadona are present with very significant shares.</w:t>
      </w:r>
    </w:p>
    <w:p>
      <w:r>
        <w:t xml:space="preserve">INVESTIGATION DIRECTORATE  </w:t>
        <w:br/>
        <w:t xml:space="preserve">Retail Distribution in the 20-Minute Drive Isochron  </w:t>
        <w:br/>
        <w:t xml:space="preserve">Area of Influence of Beniganim  </w:t>
        <w:br/>
        <w:t xml:space="preserve">Establishment Area (m2) Share (%)  </w:t>
        <w:br/>
        <w:t xml:space="preserve">Consum 1,970 10.0  </w:t>
        <w:br/>
        <w:t xml:space="preserve">Acquired Assets 2,800 14.2  </w:t>
        <w:br/>
        <w:t xml:space="preserve">Joint Share 4,770 24.2  </w:t>
        <w:br/>
        <w:t xml:space="preserve">Eroski 6,377 32.3  </w:t>
        <w:br/>
        <w:t xml:space="preserve">Mercadona 3,982 20.2  </w:t>
        <w:br/>
        <w:t xml:space="preserve">Dia 2,110 10.7  </w:t>
        <w:br/>
        <w:t xml:space="preserve">Others 2,464 12.5  </w:t>
        <w:br/>
        <w:t xml:space="preserve">Total 19,703 100%  </w:t>
        <w:br/>
        <w:t xml:space="preserve">Source: Notifier  </w:t>
        <w:br/>
        <w:t xml:space="preserve">VI.1.3. Municipality of Carlet and its Area of Influence  </w:t>
        <w:br/>
        <w:t xml:space="preserve">(47) In this locality, the application of a 15-minute isochrone would include the populations of La Alcúdia, Guadassuar, Alginet, and Catadau.  </w:t>
        <w:br/>
        <w:t xml:space="preserve">(48) The market as defined has a retail sales area of 19,943 m2. The commercial offer in this area includes Mercadona (16.6%). The resulting share using a 20-minute isochrone would be 23.7%.  </w:t>
        <w:br/>
        <w:t xml:space="preserve">Retail Distribution in the 15-Minute Drive Isochron  </w:t>
        <w:br/>
        <w:t xml:space="preserve">Area of Influence of Carlet (2009)  </w:t>
        <w:br/>
        <w:t xml:space="preserve">Establishment Area (m2) Share (%)  </w:t>
        <w:br/>
        <w:t xml:space="preserve">Consum 4,533 22.7  </w:t>
        <w:br/>
        <w:t xml:space="preserve">Acquired Assets 1,800 9.0  </w:t>
        <w:br/>
        <w:t xml:space="preserve">Joint Share 6,333 31.7  </w:t>
        <w:br/>
        <w:t xml:space="preserve">Mercadona 3,306 16.6  </w:t>
        <w:br/>
        <w:t xml:space="preserve">LIDL 900 4.5  </w:t>
        <w:br/>
        <w:t xml:space="preserve">Others 9,404 47.2  </w:t>
        <w:br/>
        <w:t xml:space="preserve">Total 19,943 100%  </w:t>
        <w:br/>
        <w:t xml:space="preserve">Source: Notifier  </w:t>
        <w:br/>
        <w:t xml:space="preserve">VI.1.4. Municipality of Valencia and its Area of Influence  </w:t>
        <w:br/>
        <w:t>(49) If a 15-minute isochrone is proposed around the acquired establishments, which practically covers the entire municipality of Valencia, the resulting share is 27.5%. The area of the resulting entity after the operation,</w:t>
      </w:r>
    </w:p>
    <w:p>
      <w:r>
        <w:t xml:space="preserve">INVESTIGATION DIRECTORATE  </w:t>
        <w:br/>
        <w:t xml:space="preserve">83,999 m2, is practically the same as that of Mercadona, with Carrefour in third place.  </w:t>
        <w:br/>
        <w:t xml:space="preserve">Retail Distribution in the 15-Minute Drive Isochron  </w:t>
        <w:br/>
        <w:t xml:space="preserve">Area of Influence of Valencia (2009)  </w:t>
        <w:br/>
        <w:t xml:space="preserve">Establishment Area (m2) Share (%)  </w:t>
        <w:br/>
        <w:t xml:space="preserve">Consum 79,499 26.0  </w:t>
        <w:br/>
        <w:t xml:space="preserve">Acquired Assets 4,500 1.5  </w:t>
        <w:br/>
        <w:t xml:space="preserve">Joint Share 83,999 27.5  </w:t>
        <w:br/>
        <w:t xml:space="preserve">Mercadona 84,235 27.5  </w:t>
        <w:br/>
        <w:t xml:space="preserve">Carrefour 57,530 18.8  </w:t>
        <w:br/>
        <w:t xml:space="preserve">Dia 12,666 4.1  </w:t>
        <w:br/>
        <w:t xml:space="preserve">Aldi 3,520 1.2  </w:t>
        <w:br/>
        <w:t xml:space="preserve">Eroski 3,418 1.1  </w:t>
        <w:br/>
        <w:t xml:space="preserve">LIDL 1,840 0.6  </w:t>
        <w:br/>
        <w:t xml:space="preserve">Others 56,598 18.5  </w:t>
        <w:br/>
        <w:t xml:space="preserve">Total 305,936 100%  </w:t>
        <w:br/>
        <w:t xml:space="preserve">Source: Notifier  </w:t>
        <w:br/>
        <w:t xml:space="preserve">VI.1.5. Municipality of San Antonio de Benagéber  </w:t>
        <w:br/>
        <w:t xml:space="preserve">The 15-minute isochrone around this locality includes the populations of Bétera, La Pobla de Vallbona, l’Eliana, Lliria, Godella, Burjassot, Paterna, Manises, and Rocafort, and the resulting share would be 20.1% with the presence of operators such as Carrefour and Mercadona with very significant shares.  </w:t>
        <w:br/>
        <w:t xml:space="preserve">Retail Distribution in the 15-Minute Drive Isochron  </w:t>
        <w:br/>
        <w:t xml:space="preserve">Area of Influence of San Antonio de Benagéber (2009)  </w:t>
        <w:br/>
        <w:t xml:space="preserve">Establishment Area (m2) Share (%)  </w:t>
        <w:br/>
        <w:t xml:space="preserve">Consum 13,509 18.5  </w:t>
        <w:br/>
        <w:t xml:space="preserve">Acquired Assets 1,200 1.6  </w:t>
        <w:br/>
        <w:t xml:space="preserve">Joint Share 14,709 20.9  </w:t>
        <w:br/>
        <w:t xml:space="preserve">Carrefour 21,565 29.5  </w:t>
        <w:br/>
        <w:t xml:space="preserve">Mercadona 19,930 27.3  </w:t>
        <w:br/>
        <w:t xml:space="preserve">Dia 2,942 4.0  </w:t>
        <w:br/>
        <w:t>Eroski 2,828 3.9</w:t>
      </w:r>
    </w:p>
    <w:p>
      <w:r>
        <w:rPr>
          <w:b/>
        </w:rPr>
        <w:t>[Pages 13–14]</w:t>
      </w:r>
    </w:p>
    <w:p>
      <w:r>
        <w:t xml:space="preserve">INVESTIGATION DIRECTORATE  </w:t>
        <w:br/>
        <w:t xml:space="preserve">Retail distribution in the 15-minute isochrone by car  </w:t>
        <w:br/>
        <w:t xml:space="preserve">Influence area of San Antonio de Benagéber (2009)  </w:t>
        <w:br/>
        <w:t xml:space="preserve">Establishment Area (m2) Share (%)  </w:t>
        <w:br/>
        <w:t xml:space="preserve">LIDL 2,700 3.7  </w:t>
        <w:br/>
        <w:t xml:space="preserve">Aldi 999 1.4  </w:t>
        <w:br/>
        <w:t xml:space="preserve">Others 8,353 11.4  </w:t>
        <w:br/>
        <w:t xml:space="preserve">Total 73,126 100%  </w:t>
        <w:br/>
        <w:t xml:space="preserve">Source Notifier  </w:t>
        <w:br/>
        <w:t xml:space="preserve">VI.2. Demand Structure  </w:t>
        <w:br/>
        <w:t xml:space="preserve">(50) The demand in the market for retail distribution of daily consumer goods is constituted by end consumers, individuals who, based on their characteristics or needs, will go to one type or another of sales outlet.  </w:t>
        <w:br/>
        <w:t xml:space="preserve">(51) Consumers residing in urban areas that are difficult to access by car seek nearby establishments that offer daily consumer goods, so they will typically supply themselves through convenience stores or medium-sized outlets. In contrast, residents in peripheral areas look for establishments that they can access by vehicle and where they can make weekly or even monthly supply purchases, so they will primarily head to large retail outlets.  </w:t>
        <w:br/>
        <w:t xml:space="preserve">(52) However, it is worth noting that the demand for different types of sales outlets does not constitute watertight compartments, as consumers may go to large outlets for major supply purchases and use convenience stores for daily use products.  </w:t>
        <w:br/>
        <w:t xml:space="preserve">VI.3. Barriers to Entry – Potential Competition  </w:t>
        <w:br/>
        <w:t xml:space="preserve">(53) Traditionally, it has been considered that the market for the retail sale of daily consumer goods presents significant barriers to entry, primarily of a legal nature, specifically those arising from Law 7/1996 on the Regulation of Retail Trade regarding the application for a commercial license. However, the state legislation in this area has recently been amended to adapt it to Directive 2006/123/EC of the European Parliament and of the Council of December 12, 2006, on services in the internal market.  </w:t>
        <w:br/>
        <w:t xml:space="preserve">(54) Thus, Law 1/2010, of March 1, reforming Law 7/1996, of January 15, on the Regulation of Retail Trade, establishes the new framework in which retail trade activities will develop in Spain, generally eliminating the authorization regime for the establishment of commercial establishments.  </w:t>
        <w:br/>
        <w:t xml:space="preserve">(55) However, Law 1/2010 establishes that the competent authorities (the Autonomous Communities) may establish an administrative authorization regime for the installation of commercial establishments when justified by imperative reasons of general interest related to commercial distribution (such as environmental protection and urban environment, land use planning, and the preservation of historical and artistic heritage). In any case, the requirements and criteria for granting the authorization must be proportionate, non-discriminatory, clear and unequivocal, objective, predictable, transparent, and accessible.  </w:t>
        <w:br/>
        <w:t xml:space="preserve">(56) Aside from legal barriers, competition authorities have identified other barriers to entry, such as those arising from the very location of the businesses.  </w:t>
        <w:br/>
        <w:t xml:space="preserve">(57) It should also be noted that in cases where the establishment requires the construction of a new building, the urban administrative procedures for opening a new establishment can be very complicated, which means that projects for opening new establishments usually have long maturation periods, averaging 1-2 years.  </w:t>
        <w:br/>
        <w:t xml:space="preserve">VII. ASSESSMENT OF THE OPERATION  </w:t>
        <w:br/>
        <w:t xml:space="preserve">(58) The concentration operation subject to this report does not pose a risk of hindering competition in the area since, after the operation, CONSUM's market share in the Valencian Community would rise to 19.8%.  </w:t>
        <w:br/>
        <w:t xml:space="preserve">(59) In the context of this concentration operation, regardless of whether more or less strict market definitions are used to define the relevant geographical areas, the structure of the supply is not substantially altered, with significant competitive alternatives existing to the resulting entity in all the geographical areas involved.  </w:t>
        <w:br/>
        <w:t xml:space="preserve">(60) The exception is the town of Beniganim, where after applying a 15-minute isochrone, the market share stands at approximately 65% after the operation. However, considering a 20-minute isochrone, which would include the town of Xativa, the resulting share would be 24.2%. In this area, there are very significant competitors, such as Mercadona and Eroski, with shares exceeding 20%, which could potentially offset the market power that the resulting entity might acquire in the area.  </w:t>
        <w:br/>
        <w:t xml:space="preserve">(61) Taking all of the above into account, it is not expected that the operation will pose a threat to effective competition in the analyzed markets, so it is susceptible to being authorized in the first phase without commitments.  </w:t>
        <w:b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