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https://www.cnmc.es/expedientes/c028410</w:t>
      </w:r>
    </w:p>
    <w:p>
      <w:r>
        <w:t>Pages translated : 4</w:t>
      </w:r>
    </w:p>
    <w:p/>
    <w:p>
      <w:r>
        <w:rPr>
          <w:b/>
        </w:rPr>
        <w:t>[Pages 1–3]</w:t>
      </w:r>
    </w:p>
    <w:p>
      <w:r>
        <w:t xml:space="preserve">NATIONAL COMMISSION  </w:t>
        <w:br/>
        <w:t xml:space="preserve">FOR COMPETITION  </w:t>
        <w:br/>
        <w:t xml:space="preserve">RESOLUTION (Exp. C-0284/10, IIF/ABP/DSPL)  </w:t>
        <w:br/>
        <w:t xml:space="preserve">COUNCIL  </w:t>
        <w:br/>
        <w:t xml:space="preserve">Mr. Luis Berenguer Fuster, President  </w:t>
        <w:br/>
        <w:t xml:space="preserve">Mr. Julio Costas Comesaña, Council Member  </w:t>
        <w:br/>
        <w:t xml:space="preserve">Ms. Mª Jesús González López, Council Member  </w:t>
        <w:br/>
        <w:t xml:space="preserve">Ms. Inmaculada Gutiérrez Carrizo, Council Member  </w:t>
        <w:br/>
        <w:t xml:space="preserve">In Madrid, on October 19, 2010.  </w:t>
        <w:br/>
        <w:t xml:space="preserve">Having reviewed the file processed in accordance with Law 15/2007, of July 3, on the Defense of Competition, regarding the joint control acquisition by IIF INT’L HOLDING L.P. and STICHTING PENSIOENFONDS ABP over DRAGADOS SERVICIOS PORTUARIOS Y LOGÍSTICOS S.L. (DSPL) (Exp. C/0284/10), and agreeing with the report and proposal submitted by the Directorate of Investigation, the Council of the National Commission for Competition has resolved, pursuant to Article 57.2.a) of the aforementioned Law, to authorize the said concentration operation in the first phase, except with respect to the non-competition agreement, which exceeds what is reasonably required by the notified concentration operation, and therefore is not considered an integral part of the operation to the extent that it exceeds the areas in which the assets being transferred in this operation are located.  </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PROPOSED RESOLUTION  </w:t>
        <w:br/>
        <w:t xml:space="preserve">C-0284 /10 IIF / ABP / DSPL  </w:t>
        <w:br/>
        <w:t xml:space="preserve">I. BACKGROUND  </w:t>
        <w:br/>
        <w:t xml:space="preserve">(1) On September 24, 2010, this Directorate of Investigation received notification of the joint control acquisition by IIF INT’L HOLDING L.P. (IIF) and STICHTING PENSIOENFONDS ABP (ABP) over Dragados Servicios Portuarios y Logísticos S.L. (DSPL).  </w:t>
        <w:br/>
        <w:t xml:space="preserve">(2) This notification was made by IIF and ABP, as established in Article 9 of Law 15/2007, of July 3, on the Defense of Competition (LDC), for exceeding the threshold established in its Article 8.1 b). This operation is subject to the provisions of Royal Decree 261/2008, of February 22, which approves the Competition Defense Regulation.  </w:t>
        <w:br/>
        <w:t xml:space="preserve">(3) The deadline to agree to initiate the second phase of the procedure is October 25, 2010, inclusive. Once the deadline for resolving in the first phase has elapsed, the notified operation will be considered tacitly authorized.  </w:t>
        <w:br/>
        <w:t xml:space="preserve">II. APPLICABILITY OF LAW 15/2007 ON THE DEFENSE OF COMPETITION  </w:t>
        <w:br/>
        <w:t xml:space="preserve">(4) The notified operation is an economic concentration within the meaning of Article 7.1 c) of the LDC.  </w:t>
        <w:br/>
        <w:t xml:space="preserve">(5) The operation is not of community dimension as it does not fall within the scope of application of Council Regulation (EC) No. 139/2004 of January 20, on the control of concentrations between undertakings.  </w:t>
        <w:br/>
        <w:t xml:space="preserve">(6) However, the notified operation meets the requirements set forth by Law 15/2007 for its notification, as the threshold established in Article 8.1 b) of the same is exceeded and the requirements set forth in Article 56.1 a) of the aforementioned regulation are met.  </w:t>
        <w:br/>
        <w:t xml:space="preserve">III. ANCILLARY RESTRICTIONS  </w:t>
        <w:br/>
        <w:t xml:space="preserve">III.1. Non-competition Clause  </w:t>
        <w:br/>
        <w:t xml:space="preserve">(7) The Clause […]1 of the Purchase Agreement provides for a non-competition agreement whereby the sellers commit not to compete with the business of the transferred company for a period [less than three years] from the closing date. This provision implies that the sellers will not be able to engage in activities in Spain that may compete with the activities of DSPL.  </w:t>
        <w:br/>
        <w:t xml:space="preserve">III.2. Non-solicitation Clause  </w:t>
        <w:br/>
        <w:t xml:space="preserve">(8) On the other hand, section […] of the aforementioned clause and clause […] state that the sellers shall not, for a period [less than three years], make or promote job offers or service provision, nor hire employees or persons related to any of the companies, without the prior written consent of the buyers.  </w:t>
        <w:br/>
        <w:t xml:space="preserve">III.3. Assessment  </w:t>
        <w:br/>
        <w:t xml:space="preserve">(9) Section 3 of Article 10 of Law 15/2007 establishes that “certain ancillary restrictions to competition, directly linked to the transaction and necessary for its implementation, may be understood to be included.”  </w:t>
        <w:br/>
        <w:t xml:space="preserve">(10) Taking into account national and community precedents, as well as the Commission's Notice on restrictions directly related to and necessary for the implementation of a concentration (2005/C 56/03), it is considered that in the present case, the content and duration of the non-solicitation clause do not go beyond what is reasonably required by the notified concentration operation, as well as the duration of the non-competition clause.  </w:t>
        <w:br/>
        <w:t xml:space="preserve">(11) However, the non-competition clause extends to the entire Spanish territory, and as indicated by the Commission's Notice: “The geographical scope of application of a non-competition clause must be limited to the area in which the seller offered the relevant products or services prior to the transfer.” Therefore, this Directorate of Investigation considers that it exceeds what is reasonably required by the notified concentration operation, and is not considered an integral part of the operation to the extent that it exceeds the areas in which the assets being transferred in this operation are located.  </w:t>
        <w:br/>
        <w:t xml:space="preserve">IV. PARTICIPATING COMPANIES  </w:t>
        <w:br/>
        <w:t xml:space="preserve">IV.1. IIF INT’L HOLDING LP (IIF)  </w:t>
        <w:br/>
        <w:t xml:space="preserve">(12) IIF is an investment fund, in the form of a limited partnership, specialized in infrastructure investments. The fund is managed by […]. Its activity focuses on long-term investments in infrastructure assets in OECD countries.  </w:t>
        <w:br/>
        <w:t xml:space="preserve">IV.2. STICHTING PENSIOENFONDS ABP (ABP)  </w:t>
        <w:br/>
        <w:t xml:space="preserve">(13) ABP is a Dutch pension fund whose legal form is a foundation governed by the laws of the Netherlands. ABP has no shareholders and is not ultimately controlled by any entity. All of ABP's offices are located in Heerlen, Netherlands.  </w:t>
        <w:br/>
        <w:t xml:space="preserve">IV.3. DRAGADOS SERVICIOS PORTUARIOS Y LOGÍSTICOS S.L. (DSPL)  </w:t>
        <w:br/>
        <w:t xml:space="preserve">(14) The main activity of DSPL is the management and operation of port terminals, managing 8 national terminals and others of an international nature. It also has a business branch focused on port logistics2.  </w:t>
        <w:br/>
        <w:t xml:space="preserve">(15) DSPL is ultimately controlled by ACS.  </w:t>
        <w:br/>
        <w:t xml:space="preserve">(16) The concentration operation refers only to the activities of DSPL in port stevedoring and encompasses TDS (multi-purpose container terminal located in the  </w:t>
        <w:br/>
        <w:t>2 The international terminals of DSPL and the business dedicated to providing port logistics services are not part of the proposed operation.</w:t>
      </w:r>
    </w:p>
    <w:p>
      <w:r>
        <w:rPr>
          <w:b/>
        </w:rPr>
        <w:t>[Pages 4–4]</w:t>
      </w:r>
    </w:p>
    <w:p>
      <w:r>
        <w:t xml:space="preserve">DIRECTORATE OF INVESTIGATION  </w:t>
        <w:br/>
        <w:t>Port of Málaga), ATM (container terminal located at the Port of Bilbao), OPCSA (container terminal located at the Port of Las Palmas de Gran Canaria), GSM (terminal located at the Port of Santander), TMS (at the Port of Santander), TM Sevicesa (at the Port of Valencia), CONTERAIL (concession at the Dry Port of Madrid), MARVALSA (operates one of the three existing terminals at the Port of Valencia and also the bulk cargo terminal in Sagunto) and SM GEstinver (which controls Autoterminal, a vehicle terminal on the Peninsula for ro-ro cargo).</w:t>
      </w:r>
    </w:p>
    <w:p>
      <w:r>
        <w:t xml:space="preserve">V. ASSESSMENT OF THE OPERATION  </w:t>
        <w:br/>
        <w:t>(17) This Directorate of Investigation considers that the notified concentration operation does not pose a threat to effective competition, as there is no horizontal or vertical overlap between the parties to the operation in any of the markets studied.</w:t>
      </w:r>
    </w:p>
    <w:p>
      <w:r>
        <w:t xml:space="preserve">VI.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