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https://www.cnmc.es/expedientes/c028610</w:t>
      </w:r>
    </w:p>
    <w:p>
      <w:r>
        <w:t>Pages translated : 1</w:t>
      </w:r>
    </w:p>
    <w:p/>
    <w:p>
      <w:r>
        <w:rPr>
          <w:b/>
        </w:rPr>
        <w:t>[Pages 1–1]</w:t>
      </w:r>
    </w:p>
    <w:p>
      <w:r>
        <w:t>RESOLUTION (File No. C-0286/10, CAJA MADRID/BANCAJA/CAJA INSULAR CANARIAS, CAJA DE ÁVILA, CAIXA LAIETANA, CAJA SEGOVIA AND CAJA RIOJA)</w:t>
      </w:r>
    </w:p>
    <w:p>
      <w:r>
        <w:t>COUNCIL</w:t>
      </w:r>
    </w:p>
    <w:p>
      <w:r>
        <w:t xml:space="preserve">Mr. Luis Berenguer Fuster, President  </w:t>
        <w:br/>
        <w:t xml:space="preserve">Ms. Pilar Sánchez Núñez, Vice President  </w:t>
        <w:br/>
        <w:t xml:space="preserve">Mr. Julio Costas Comesaña, Councilor  </w:t>
        <w:br/>
        <w:t xml:space="preserve">Ms. Mª Jesús González López, Councilor  </w:t>
        <w:br/>
        <w:t>Ms. Inmaculada Gutiérrez Carrizo, Councilor</w:t>
      </w:r>
    </w:p>
    <w:p>
      <w:r>
        <w:t>In Madrid, on November 15, 2010.</w:t>
      </w:r>
    </w:p>
    <w:p>
      <w:r>
        <w:t>Having reviewed the file processed in accordance with Law 15/2007, of July 3, on the Defense of Competition, regarding the joint control acquisition by CAJA DE AHORROS Y MONTE DE PIEDAD DE MADRID and CAJA DE AHORROS DE VALENCIA, CASTELLÓN Y ALICANTE (BANCAJA) of the companies CAJA INSULAR DE AHORROS DE CANARIAS, CAJA DE AHORROS Y MONTE DE PIEDAD DE ÁVILA, CAIXA D’ESTALVIS LAIETANA, CAJA DE AHORROS Y MONTE DE PIEDAD DE SEGOVIA AND CAJA DE AHORROS DE LA RIOJA (File No. C/0286/10), and in agreement with the report and proposal submitted by the Directorate of Investigation, the Council of the National Competition Commission has resolved, in application of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