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https://www.cnmc.es/expedientes/c028810</w:t>
      </w:r>
    </w:p>
    <w:p>
      <w:r>
        <w:t>Pages translated : 3</w:t>
      </w:r>
    </w:p>
    <w:p/>
    <w:p>
      <w:r>
        <w:rPr>
          <w:b/>
        </w:rPr>
        <w:t>[Pages 1–3]</w:t>
      </w:r>
    </w:p>
    <w:p>
      <w:r>
        <w:t xml:space="preserve">NATIONAL COMPETITION COMMISSION  </w:t>
        <w:br/>
        <w:t xml:space="preserve">RESOLUTION (File C-0288/10, RECKITT/COMBE ASSETS)  </w:t>
        <w:br/>
        <w:t xml:space="preserve">COUNCIL  </w:t>
        <w:br/>
        <w:t xml:space="preserve">Mr. Luis Berenguer Fuster,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In Madrid, on October 13, 2010.</w:t>
      </w:r>
    </w:p>
    <w:p>
      <w:r>
        <w:t>Having reviewed the file processed in accordance with Law 15/2007, of July 3, on the Defense of Competition, regarding the acquisition of exclusive control by RECKITT BENCKISER INC. of certain assets of COMBE INCORPORATED (File C/0288/10), and agreeing with the report and proposal submitted by the Directorate of Investigation, the Council of the National Competition Commission has resolved, pursuant to Article 57.2.a) of the aforementioned Law, to authorize the said concentration operation in the first phase, except with respect to the non-solicitation agreement, which will be subject to the regulations on agreements between companies.</w:t>
      </w:r>
    </w:p>
    <w:p>
      <w:r>
        <w:t>This Resolution shall be communicated to the Directorate of Investigation of the National Competition Commission and notified to the interested parties, informing them that it concludes the administrative process and that a contentious-administrative appeal may be filed against it before the National Court, within two months from its notification.</w:t>
      </w:r>
    </w:p>
    <w:p>
      <w:r>
        <w:t xml:space="preserve">DIRECTORATE OF INVESTIGATION  </w:t>
        <w:br/>
        <w:t xml:space="preserve">REPORT AND PROPOSED RESOLUTION  </w:t>
        <w:br/>
        <w:t>FILE C-0288/10 RECKITT/COMBE ASSETS</w:t>
      </w:r>
    </w:p>
    <w:p>
      <w:r>
        <w:t xml:space="preserve">I. BACKGROUND  </w:t>
        <w:br/>
        <w:t xml:space="preserve">(1) On October 1, 2010, a notification was submitted to the National Competition Commission (CNC) regarding the economic concentration operation consisting of the acquisition of exclusive control by RECKITT BENCKISER INC. (RECKITT) of certain assets of COMBE INCORPORATED (COMBE).  </w:t>
        <w:br/>
        <w:t xml:space="preserve">(2) Specifically, the operation is based on the acquisition by RECKITT of certain Intellectual and Industrial Property rights (mainly trademarks and patents) along with other assets such as lists and contracts with clients and suppliers, related to the commercial activity of certain pharmaceutical products of COMBE.  </w:t>
        <w:br/>
        <w:t>(3) The deadline to agree to initiate the second phase of the procedure is November 2, 2010, inclusive. After this date, the notified operation will be considered tacitly authorized.</w:t>
      </w:r>
    </w:p>
    <w:p>
      <w:r>
        <w:t xml:space="preserve">II. PARTICIPATING COMPANIES  </w:t>
        <w:br/>
        <w:t xml:space="preserve">II.1. RECKITT BENCKISER INC. (RECKITT)  </w:t>
        <w:br/>
        <w:t xml:space="preserve">(4) RECKITT is a wholly-owned subsidiary of RECKITT BENCKISER GROUP PLC, one of the leading global manufacturers and marketers of branded products in the household cleaning and health and personal care sectors, present in approximately 180 countries.  </w:t>
        <w:br/>
        <w:t>(5) The main business areas in which RECKITT BENCKISER GROUP PLC operates are as follows: (i) Fabric care products, (ii) Surface care products, (iii) Dishwashing, (iv) Home care products, and (v) Health and personal care products.</w:t>
      </w:r>
    </w:p>
    <w:p>
      <w:r>
        <w:t xml:space="preserve">II.2. COMBE INCORPORATED (COMBE)  </w:t>
        <w:br/>
        <w:t xml:space="preserve">(6) COMBE is a multinational company based in New York (United States of America) engaged in the manufacture and marketing of health and beauty products, including hair dyes for men and women, skin care products, foot care products, feminine hygiene products, denture products, mouthwashes, and products for colds/coughs, as well as men's personal care products.  </w:t>
        <w:br/>
        <w:t>(7) In Spain, COMBE is present in various sectors through the marketing of the following pharmaceutical and personal hygiene products: (i) Men's care, (ii) Antipruritics, (iii) Antihemorrhoidals, (iv) Feminine hygiene, and (v) Foot care, although the operation is limited to antipruritics and antihemorrhoidals.</w:t>
      </w:r>
    </w:p>
    <w:p>
      <w:r>
        <w:t xml:space="preserve">DIRECTORATE OF INVESTIGATION  </w:t>
        <w:br/>
        <w:t xml:space="preserve">III. ASSESSMENT  </w:t>
        <w:br/>
        <w:t>This Directorate of Investigation considers that the notified concentration operation does not pose a threat to effective competition, as there is no overlap of activities between RECKITT and COMBE in such a way that the notified operation does not entail an alteration of the structure of the supply of these markets.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