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https://www.cnmc.es/expedientes/c028910</w:t>
      </w:r>
    </w:p>
    <w:p>
      <w:r>
        <w:t>Pages translated : 1</w:t>
      </w:r>
    </w:p>
    <w:p/>
    <w:p>
      <w:r>
        <w:rPr>
          <w:b/>
        </w:rPr>
        <w:t>[Pages 1–1]</w:t>
      </w:r>
    </w:p>
    <w:p>
      <w:r>
        <w:t>RESOLUTION (File No. C-0289/10, CAIXA GALICIA/CAIXANOVA)</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November 15, 2010.</w:t>
        <w:br/>
        <w:t>Having reviewed the file processed in accordance with Law 15/2007, of July 3, on the Defense of Competition, concerning the merger of CAJA DE AHORROS DE GALICIA (CAIXA GALICIA) and CAIXA DE AFORROS DE VIGO, OURENSE E PONTEVEDRA (CAIXANOVA) (File No. C/0289/10), and in agreement with the report and proposal submitted by the Directorate of Investigation, the Council of the National Competition Commission has resolved, pursuant to Article 57.2.a) of the aforementioned Law, to authorize the said operation of concentration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