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https://www.cnmc.es/expedientes/c029010</w:t>
      </w:r>
    </w:p>
    <w:p>
      <w:r>
        <w:t>Pages translated : 1</w:t>
      </w:r>
    </w:p>
    <w:p/>
    <w:p>
      <w:r>
        <w:rPr>
          <w:b/>
        </w:rPr>
        <w:t>[Pages 1–1]</w:t>
      </w:r>
    </w:p>
    <w:p>
      <w:r>
        <w:t>RESOLUTION (File C-0290/10, CAJA INMACULADA/CAJA CIRCULO/CAJA BADAJOZ)</w:t>
      </w:r>
    </w:p>
    <w:p>
      <w:r>
        <w:t>COUNCIL</w:t>
      </w:r>
    </w:p>
    <w:p>
      <w:r>
        <w:t xml:space="preserve">Mr. Luis Berenguer Fuster, President  </w:t>
        <w:br/>
        <w:t xml:space="preserve">Ms. Pilar Sánchez Núñez, Vice President  </w:t>
        <w:br/>
        <w:t xml:space="preserve">Mr. Julio Costas Comesaña, Counselor  </w:t>
        <w:br/>
        <w:t xml:space="preserve">Ms. Mª Jesús González López, Counselor  </w:t>
        <w:br/>
        <w:t>Ms. Inmaculada Gutiérrez Carrizo, Counselor</w:t>
      </w:r>
    </w:p>
    <w:p>
      <w:r>
        <w:t>In Madrid, on November 15, 2010.</w:t>
      </w:r>
    </w:p>
    <w:p>
      <w:r>
        <w:t>Having reviewed the file processed in accordance with Law 15/2007, of July 3, on the Defense of Competition, regarding the integration of CAJA DE AHORROS DE LA INMACULADA DE ARAGÓN, CAJA DE AHORROS Y MONTE DE PIEDAD DEL CÍRCULO CATÓLICO DE OBREROS DE BURGOS, and MONTE DE PIEDAD Y CAJA GENERAL DE AHORROS DE BADAJOZ (File C/0290/10),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  </w:t>
        <w:b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