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https://www.cnmc.es/expedientes/c029110</w:t>
      </w:r>
    </w:p>
    <w:p>
      <w:r>
        <w:t>Pages translated : 1</w:t>
      </w:r>
    </w:p>
    <w:p/>
    <w:p>
      <w:r>
        <w:rPr>
          <w:b/>
        </w:rPr>
        <w:t>[Pages 1–1]</w:t>
      </w:r>
    </w:p>
    <w:p>
      <w:r>
        <w:t>RESOLUTION (File C-0291/10, FRESENIUS/GAMBRO)</w:t>
        <w:br/>
        <w:t>COUNCIL</w:t>
        <w:br/>
        <w:t>Mr. Luis Berenguer Fuster, President</w:t>
        <w:br/>
        <w:t>Ms. Pilar Sánchez Núñez, Vice President</w:t>
        <w:br/>
        <w:t>Mr. Julio Costas Comesaña, Councilor</w:t>
        <w:br/>
        <w:t>Ms. Mª Jesús González López, Councilor</w:t>
        <w:br/>
        <w:t>Ms. Inmaculada Gutiérrez Carrizo, Councilor</w:t>
        <w:br/>
        <w:t>In Madrid, on November 10, 2010.</w:t>
        <w:br/>
        <w:t>Having reviewed the file processed in accordance with Law 15/2007, of July 3, on the Defense of Competition, concerning the acquisition by FRESENIUS MEDICAL CARE AG of exclusive control over the assets of the business area of the company GAMBRO PD, dedicated to the manufacture and marketing of products for use in peritoneal dialysis treatments (File C/0291/10), and in agreement with the report and proposal submitted by the Investigation Directorate, the Council of the National Commission on Competition has resolved, in application of Article 57.2.a) of the aforementioned Law, to authorize the said concentration operation in the first phase.</w:t>
        <w:br/>
        <w:t>This Resolution shall be communicated to the Investigation Directorate of the National Commission on Competition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