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https://www.cnmc.es/expedientes/c029310</w:t>
      </w:r>
    </w:p>
    <w:p>
      <w:r>
        <w:t>Pages translated : 1</w:t>
      </w:r>
    </w:p>
    <w:p/>
    <w:p>
      <w:r>
        <w:rPr>
          <w:b/>
        </w:rPr>
        <w:t>[Pages 1–1]</w:t>
      </w:r>
    </w:p>
    <w:p>
      <w:r>
        <w:t>RESOLUTION (File C-0293/10, ARVAL/CAIXARENTING)</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November 3, 2010.</w:t>
      </w:r>
    </w:p>
    <w:p>
      <w:r>
        <w:t>Having reviewed the file processed in accordance with Law 15/2007, of July 3, on the Defense of Competition, concerning the acquisition by ARVAL SERVICE LEASE S.A. of exclusive control over the long-term light vehicle leasing business of the company CAIXARENTING S.A.U. (File C/0293/10),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exclusivity and non-competition agreements, which, to the extent that they exceed two years, will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