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https://www.cnmc.es/expedientes/c029410</w:t>
      </w:r>
    </w:p>
    <w:p>
      <w:r>
        <w:t>Pages translated : 1</w:t>
      </w:r>
    </w:p>
    <w:p/>
    <w:p>
      <w:r>
        <w:rPr>
          <w:b/>
        </w:rPr>
        <w:t>[Pages 1–1]</w:t>
      </w:r>
    </w:p>
    <w:p>
      <w:r>
        <w:t>RESOLUTION (File C-0294/10, ENAGAS/MURPHY/GAVIOTA)</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November 24, 2010.</w:t>
      </w:r>
    </w:p>
    <w:p>
      <w:r>
        <w:t>Having reviewed the file processed in accordance with Law 15/2007, of July 3, on the Defense of Competition, regarding the acquisition of joint control over a pre-existing asset, the exploitation concession over the underground storage LA GAVIOTA by ENAGAS S.A. as the new controlling shareholder, and MURPHY SPAIN OIL COMPANY BRANCH IN SPAIN as the pre-existing controlling shareholder (File C/0294/10),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