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https://www.cnmc.es/expedientes/c029610</w:t>
      </w:r>
    </w:p>
    <w:p>
      <w:r>
        <w:t>Pages translated : 1</w:t>
      </w:r>
    </w:p>
    <w:p/>
    <w:p>
      <w:r>
        <w:rPr>
          <w:b/>
        </w:rPr>
        <w:t>[Pages 1–1]</w:t>
      </w:r>
    </w:p>
    <w:p>
      <w:r>
        <w:t>RESOLUTION (File C-0296/10, MERCADONA/CALADERO)</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November 10, 2010.</w:t>
        <w:br/>
        <w:t>Having reviewed the file processed in accordance with Law 15/2007, of July 3, on the Defense of Competition, regarding the acquisition of exclusive control by MERCADONA S.A. over the companies ZEUS PACKING INC., ZEUS SEAFOOD INCORPORATED, and CALADERO S.L. (File C/0296/10), and in agreement with the report and proposal submitted by the Investigation Directorate, the Council of the National Competition Commission has resolved, pursuant to article 57.2.a) of the aforementioned Law, to authorize the aforementioned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