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https://www.cnmc.es/expedientes/c029710</w:t>
      </w:r>
    </w:p>
    <w:p>
      <w:r>
        <w:t>Pages translated : 1</w:t>
      </w:r>
    </w:p>
    <w:p/>
    <w:p>
      <w:r>
        <w:rPr>
          <w:b/>
        </w:rPr>
        <w:t>[Pages 1–1]</w:t>
      </w:r>
    </w:p>
    <w:p>
      <w:r>
        <w:t>RESOLUTION (File No. C-0297/10, OMNOVA/ELIOKEM)</w:t>
      </w:r>
    </w:p>
    <w:p>
      <w:r>
        <w:t>COUNCIL</w:t>
      </w:r>
    </w:p>
    <w:p>
      <w:r>
        <w:t xml:space="preserve">Mr. Luis Berenguer Fuster, President  </w:t>
        <w:br/>
        <w:t xml:space="preserve">Ms. Pilar Sánchez Núñez, Vice President  </w:t>
        <w:br/>
        <w:t xml:space="preserve">Mr. Julio Costas Comesaña, Counselor  </w:t>
        <w:br/>
        <w:t xml:space="preserve">Ms. Mª Jesús González López, Counselor  </w:t>
        <w:br/>
        <w:t>Ms. Inmaculada Gutiérrez Carrizo, Counselor</w:t>
      </w:r>
    </w:p>
    <w:p>
      <w:r>
        <w:t>In Madrid, on December 1, 2010.</w:t>
      </w:r>
    </w:p>
    <w:p>
      <w:r>
        <w:t>Having reviewed the file processed in accordance with Law 15/2007, of July 3, on the Defense of Competition, regarding the acquisition by OMNOVA SOLUTIONS INC. of exclusive control over ELIOKEM INTERNATIONAL SAS and its subsidiaries (File No. C/0297/10),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