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https://www.cnmc.es/expedientes/c029810</w:t>
      </w:r>
    </w:p>
    <w:p>
      <w:r>
        <w:t>Pages translated : 1</w:t>
      </w:r>
    </w:p>
    <w:p/>
    <w:p>
      <w:r>
        <w:rPr>
          <w:b/>
        </w:rPr>
        <w:t>[Pages 1–1]</w:t>
      </w:r>
    </w:p>
    <w:p>
      <w:r>
        <w:t>RESOLUTION (File No. C-0298/10, STRYKER-DIVISION NEURO VASCULAR BOSTON SCIENTIFIC (Assets)</w:t>
      </w:r>
    </w:p>
    <w:p>
      <w:r>
        <w:t>COUNCIL</w:t>
        <w:br/>
        <w:t>Mr. Luis Berenguer Fuster, President</w:t>
        <w:br/>
        <w:t>Ms. Pilar Sánchez Núñez, Vice President</w:t>
        <w:br/>
        <w:t>Mr. Julio Costas Comesaña, Counselor</w:t>
        <w:br/>
        <w:t>Ms. Mª Jesús González López, Counselor</w:t>
        <w:br/>
        <w:t>Ms. Inmaculada Gutiérrez Carrizo, Counselor</w:t>
      </w:r>
    </w:p>
    <w:p>
      <w:r>
        <w:t>In Madrid, on December 1, 2010.</w:t>
      </w:r>
    </w:p>
    <w:p>
      <w:r>
        <w:t>Having reviewed the file processed in accordance with Law 15/2007, of July 3, on the Defense of Competition, concerning the acquisition by STRYKER CORPORATION of exclusive control over the NEUROVASCULAR DIVISION OF BOSTON SCIENTIFIC CORPORATION, through a purchase agreement signed on October 28, 2010 (File No. C/0298/10), and in agreement with the report and proposal submitted by the Investigation Directorate, the Council of the National Commission of Competition has resolved, in application of Article 57.2.a) of the aforementioned Law, to authorize the said concentration operation in the first phase, except with respect to the clauses that inhibit competition which are subject to the regulations on agreements between companies insofar as they exceed three years and the non-competition and non-solicitation agreements, which are also subject to the regulations on agreements between companies.</w:t>
      </w:r>
    </w:p>
    <w:p>
      <w:r>
        <w:t>This Resolution shall be communicated to the Investigation Directorate of the National Commission of Competition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