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https://www.cnmc.es/expedientes/c029910</w:t>
      </w:r>
    </w:p>
    <w:p>
      <w:r>
        <w:t>Pages translated : 1</w:t>
      </w:r>
    </w:p>
    <w:p/>
    <w:p>
      <w:r>
        <w:rPr>
          <w:b/>
        </w:rPr>
        <w:t>[Pages 1–1]</w:t>
      </w:r>
    </w:p>
    <w:p>
      <w:r>
        <w:t>RESOLUTION (File C-0299/10, TOMPLA/MAESPA)</w:t>
        <w:br/>
        <w:t>COUNCIL</w:t>
        <w:br/>
        <w:t>Mr. Luis Berenguer Fuster, President</w:t>
        <w:br/>
        <w:t>Ms. Pilar Sánchez Núñez, Vice President</w:t>
        <w:br/>
        <w:t>Mr. Julio Costas Comesaña, Counselor</w:t>
        <w:br/>
        <w:t>Ms. Mª Jesús González López, Counselor</w:t>
        <w:br/>
        <w:t>Ms. Inmaculada Gutiérrez Carrizo, Counselor</w:t>
        <w:br/>
        <w:t>In Madrid, on December 15, 2010.</w:t>
      </w:r>
    </w:p>
    <w:p>
      <w:r>
        <w:t>Having reviewed the file processed in accordance with Law 15/2007, of July 3, on the Defense of Competition, concerning the acquisition by MANUFACTURAS TOMPLA S.A. of exclusive control over MAESPA MANIPULADOS S.L. (File C/0299/10), and in agreement with the report and proposal submitted by the Investigation Directorate, the Council of the National Competition Commission has resolved, pursuant to Article 57.2.a) of the aforementioned Law, to authorize the said concentration operation in the first phase, except with respect to the non-compete clause, to the extent that it exceeds three years from the consummation of the contract and affects markets other than that of paper envelopes, and to the non-solicitation clause, to the extent that it exceeds three years from the consummation of the contract, which would be subject to the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