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https://www.cnmc.es/expedientes/c030210</w:t>
      </w:r>
    </w:p>
    <w:p>
      <w:r>
        <w:t>Pages translated : 1</w:t>
      </w:r>
    </w:p>
    <w:p/>
    <w:p>
      <w:r>
        <w:rPr>
          <w:b/>
        </w:rPr>
        <w:t>[Pages 1–1]</w:t>
      </w:r>
    </w:p>
    <w:p>
      <w:r>
        <w:t>RESOLUTION (File No. C-0302/10, TEVA/WOMEN'S HEALTH PRODUCTS BUSINESS OF MERCK)</w:t>
      </w:r>
    </w:p>
    <w:p>
      <w:r>
        <w:t>COUNCIL</w:t>
        <w:br/>
        <w:t>Mr. Luis Berenguer Fuster, President</w:t>
        <w:br/>
        <w:t>Ms. Pilar Sánchez Núñez, Vice President</w:t>
        <w:br/>
        <w:t>Mr. Julio Costas Comesaña, Councilor</w:t>
        <w:br/>
        <w:t>Ms. Mª Jesús González López, Councilor</w:t>
        <w:br/>
        <w:t>Ms. Inmaculada Gutiérrez Carrizo, Councilor</w:t>
      </w:r>
    </w:p>
    <w:p>
      <w:r>
        <w:t>In Madrid, on December 1, 2010.</w:t>
      </w:r>
    </w:p>
    <w:p>
      <w:r>
        <w:t>Having reviewed the file processed in accordance with Law 15/2007, of July 3, on the Defense of Competition, concerning the acquisition by ASAPH FARMACEUTISCHE ONDERNEMING B.V. and TEVA ITALIA S.R.L., subsidiaries of Teva Pharmaceutical Industries Ltd, of exclusive control over THÉRAMEX SAM, MONACHEM SAM, and THÉRAMEX SPA (collectively, the "Women's Health Products Business of Merck") exclusively controlled by the MERCK GROUP, through a share purchase agreement signed on October 28, 2010 (File No. C/0302/10),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agreement for the transfer of distribution rights, which would be subject to the regulations on agreements between companies, insofar as it exceeds five years in duration.</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