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https://www.cnmc.es/expedientes/c030710</w:t>
      </w:r>
    </w:p>
    <w:p>
      <w:r>
        <w:t>Pages translated : 1</w:t>
      </w:r>
    </w:p>
    <w:p/>
    <w:p>
      <w:r>
        <w:rPr>
          <w:b/>
        </w:rPr>
        <w:t>[Pages 1–1]</w:t>
      </w:r>
    </w:p>
    <w:p>
      <w:r>
        <w:t>RESOLUTION (File C-0307/10, ENAGÁS/GAVIOTA)</w:t>
        <w:br/>
        <w:t>COUNCIL</w:t>
        <w:br/>
        <w:t>Mr. Luis Berenguer Fuster, President</w:t>
        <w:br/>
        <w:t>Ms. Pilar Sánchez Núñez, Vice President</w:t>
        <w:br/>
        <w:t>Mr. Julio Costas Comesaña, Councilor</w:t>
        <w:br/>
        <w:t>Ms. Mª Jesús González López, Councilor</w:t>
        <w:br/>
        <w:t>Ms. Inmaculada Gutiérrez Carrizo, Councilor</w:t>
        <w:br/>
        <w:t>In Madrid, on January 12, 2011.</w:t>
      </w:r>
    </w:p>
    <w:p>
      <w:r>
        <w:t>Having reviewed the file processed in accordance with Law 15/2007, of July 3, on the Defense of Competition, concerning the acquisition by ENAGÁS S.A. of exclusive control over the concession for the operation of the underground storage LA GAVIOTA, formalized through a purchase agreement signed on July 20, 2010, by virtue of which Enagás acquires the controlling 18% stake that Murphy holds in Gaviota, (File C/0307/10),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