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https://www.cnmc.es/expedientes/c031010</w:t>
      </w:r>
    </w:p>
    <w:p>
      <w:r>
        <w:t>Pages translated : 1</w:t>
      </w:r>
    </w:p>
    <w:p/>
    <w:p>
      <w:r>
        <w:rPr>
          <w:b/>
        </w:rPr>
        <w:t>[Pages 1–1]</w:t>
      </w:r>
    </w:p>
    <w:p>
      <w:r>
        <w:t xml:space="preserve">RESOLUTION (File No. C-0310/10, WIDEWALL/IKUSI)  </w:t>
        <w:br/>
        <w:t xml:space="preserve">COUNCIL  </w:t>
        <w:br/>
        <w:t xml:space="preserve">Mr. Luis Berenguer Fuster, President  </w:t>
        <w:br/>
        <w:t xml:space="preserve">Ms. Pilar Sánchez Núñez, Vice President  </w:t>
        <w:br/>
        <w:t xml:space="preserve">Ms. Mª Jesús González López, Councilor  </w:t>
        <w:br/>
        <w:t>In Madrid, on December 22, 2010.</w:t>
      </w:r>
    </w:p>
    <w:p>
      <w:r>
        <w:t>Having reviewed the file processed in accordance with Law 15/2007, of July 3, on the Defense of Competition, regarding the acquisition by WIDEWALL INVESTMENTS, S.L through the vehicle company Mairana XXI, S.L.U. of the exclusive control of IKUSI (ÁNGEL IGLESIAS, S.A.), by means of a purchase agreement signed on December 3, 2010 (File No. C/0310/10), and in agreement with the report and proposal submitted by the Investigation Directorate, the Council of the National Competition Commission has resolved, pursuant to Article 57.2.a) of the aforementioned Law, to authorize the aforementioned concentration operation in the first phase, except with respect to the non-competition obligation contained in clause 5 of the Investment Agreement between the parties and the non-competition agreement binding the seller for a period exceeding three years, which are subject to the regulations on agreements between companies.</w:t>
      </w:r>
    </w:p>
    <w:p>
      <w:r>
        <w:t xml:space="preserve">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