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https://www.cnmc.es/expedientes/c031310</w:t>
      </w:r>
    </w:p>
    <w:p>
      <w:r>
        <w:t>Pages translated : 1</w:t>
      </w:r>
    </w:p>
    <w:p/>
    <w:p>
      <w:r>
        <w:rPr>
          <w:b/>
        </w:rPr>
        <w:t>[Pages 1–1]</w:t>
      </w:r>
    </w:p>
    <w:p>
      <w:r>
        <w:t>RESOLUTION (File No. C-0313/10, SAR SERVICIOS A LA DEPENDENCIA/MAPFRE QUAVITAE)</w:t>
      </w:r>
    </w:p>
    <w:p>
      <w:r>
        <w:t>COUNCIL</w:t>
        <w:br/>
        <w:t>Mr. Luis Berenguer Fuster, President</w:t>
        <w:br/>
        <w:t>Mr. Julio Costas Comesaña, Councilor</w:t>
        <w:br/>
        <w:t>Ms. Mª Jesús González López, Councilor</w:t>
        <w:br/>
        <w:t>Ms. Inmaculada Gutiérrez Carrizo, Councilor</w:t>
      </w:r>
    </w:p>
    <w:p>
      <w:r>
        <w:t>In Madrid, on January 4, 2011.</w:t>
      </w:r>
    </w:p>
    <w:p>
      <w:r>
        <w:t>Having reviewed the file processed in accordance with Law 15/2007, of July 3, on the Defense of Competition, regarding the acquisition of control by SAR SERVICIOS A LA DEPENDENCIA S.L. over the company MAPFRE QUAVITAE S.A., through the acquisition of all its shares (File No. C/0313/10),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non-competition which, to the extent that it exceeds the relevant geographic scope in relation to the activities of the acquired entity, would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