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https://www.cnmc.es/expedientes/c031910</w:t>
      </w:r>
    </w:p>
    <w:p>
      <w:r>
        <w:t>Pages translated : 1</w:t>
      </w:r>
    </w:p>
    <w:p/>
    <w:p>
      <w:r>
        <w:rPr>
          <w:b/>
        </w:rPr>
        <w:t>[Pages 1–1]</w:t>
      </w:r>
    </w:p>
    <w:p>
      <w:r>
        <w:t xml:space="preserve">RESOLUTION (File No. C-0319/10, LRM/CAPRICORN/DUCATT)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January 12, 2011.</w:t>
      </w:r>
    </w:p>
    <w:p>
      <w:r>
        <w:t>Having reviewed the file processed in accordance with Law 15/2007, of July 3, on the Defense of Competition, regarding the acquisition by LIMBURGSE RECONVERSIE MAATSCHAPPIJ NV and CAPRICORN CLEANTECH FUND NV of joint control over DUCATT NV, a vehicle company created to integrate the business division of glass ampoules for incandescent bulbs, owned by EMGO NV, (File No. C/0319/10),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 xml:space="preserve">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