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https://www.cnmc.es/expedientes/c032210</w:t>
      </w:r>
    </w:p>
    <w:p>
      <w:r>
        <w:t>Pages translated : 1</w:t>
      </w:r>
    </w:p>
    <w:p/>
    <w:p>
      <w:r>
        <w:rPr>
          <w:b/>
        </w:rPr>
        <w:t>[Pages 1–1]</w:t>
      </w:r>
    </w:p>
    <w:p>
      <w:r>
        <w:t>RESOLUTION (File C-0322/10, CAIXA D’ESTALVIS/CAIXA SABADELL VIDA/CAIXA SABADELL COMPANYIA D’ASSEGURANCES)</w:t>
      </w:r>
    </w:p>
    <w:p>
      <w:r>
        <w:t>COUNCIL</w:t>
      </w:r>
    </w:p>
    <w:p>
      <w:r>
        <w:t xml:space="preserve">Mr. Luis Berenguer Fuster, President  </w:t>
        <w:br/>
        <w:t xml:space="preserve">Ms. Pilar Sánchez Núñez, Vice President  </w:t>
        <w:br/>
        <w:t xml:space="preserve">Mr. Julio Costas Comesaña, Counselor  </w:t>
        <w:br/>
        <w:t xml:space="preserve">Ms. Mª Jesús González López, Counselor  </w:t>
        <w:br/>
        <w:t>Ms. Inmaculada Gutiérrez Carrizo, Counselor</w:t>
      </w:r>
    </w:p>
    <w:p>
      <w:r>
        <w:t>In Madrid, on January 19, 2011.</w:t>
      </w:r>
    </w:p>
    <w:p>
      <w:r>
        <w:t>Having reviewed the file processed in accordance with Law 15/2007, of July 3, on the Defense of Competition, regarding the acquisition of exclusive control by CAIXA D’ESTALVIS UNIÓ DE CAIXES DE MANLLEU, SABADELL I TERRASSA over CAIXASABADELL VIDA S.A. INSURANCE AND REINSURANCE COMPANY and CAIXASABADELL COMPANYIA D’ASSEGURANCES GENERALS S.A., which were jointly controlled by UNNIM and the Zurich Group (File C/0322/10), and being in agreement with the report and proposal submitted by the Directorate of Investigation, the Council of the National Competition Commission has resolved, in application of Article 57.2.a) of the aforementioned Law, to authorize the said concentration operation in the first phase.</w:t>
      </w:r>
    </w:p>
    <w:p>
      <w: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