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https://www.cnmc.es/expedientes/c032611</w:t>
      </w:r>
    </w:p>
    <w:p>
      <w:r>
        <w:t>Pages translated : 1</w:t>
      </w:r>
    </w:p>
    <w:p/>
    <w:p>
      <w:r>
        <w:rPr>
          <w:b/>
        </w:rPr>
        <w:t>[Pages 1–1]</w:t>
      </w:r>
    </w:p>
    <w:p>
      <w:r>
        <w:t>RESOLUTION (File C-0326/11, YULE CATTO/POLYMERLATEX)</w:t>
        <w:br/>
        <w:t>COUNCIL</w:t>
        <w:br/>
        <w:t>Mr. Luis Berenguer Fuster, President</w:t>
        <w:br/>
        <w:t>Mr. Julio Costas Comesaña, Councilor</w:t>
        <w:br/>
        <w:t>Ms. Mª Jesús González López, Councilor</w:t>
        <w:br/>
        <w:t>Ms. Inmaculada Gutiérrez Carrizo, Councilor</w:t>
        <w:br/>
        <w:t>In Madrid, on March 1, 2011.</w:t>
        <w:br/>
        <w:t>Having reviewed the file processed in accordance with Law 15/2007, of July 3, on the Defense of Competition, regarding the acquisition by YULE CATTO CO PLC of exclusive control over POLYMERLATEX BETEILIGUNGSGESELLSCHAFT MBH, a company dedicated to the manufacture and marketing of certain synthetic latex products for various uses and applications (File C/0326/11), and in agreement with the report and proposal submitted by the Directorate of Investigation, the Council of the National Competition Commission has resolved, in application of Article 57.2.a) of the aforementioned Law, to authorize the said concentration operation in the first phase.</w:t>
        <w:br/>
        <w:t>This Resolution shall be communicated to the Directorate of Investigation of the National Competition Commission and notified to the interested parties, informing them that it concludes the administrative process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