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https://www.cnmc.es/expedientes/c032811</w:t>
      </w:r>
    </w:p>
    <w:p>
      <w:r>
        <w:t>Pages translated : 1</w:t>
      </w:r>
    </w:p>
    <w:p/>
    <w:p>
      <w:r>
        <w:rPr>
          <w:b/>
        </w:rPr>
        <w:t>[Pages 1–1]</w:t>
      </w:r>
    </w:p>
    <w:p>
      <w:r>
        <w:t>RESOLUTION (File No. C-0328/11, CASER/CAIXA PENEDÉS/CPP/CPV)</w:t>
        <w:br/>
        <w:t>COUNCIL</w:t>
        <w:br/>
        <w:t>Mr. Luis Berenguer Fuster, President</w:t>
        <w:br/>
        <w:t>Ms. Pilar Sánchez Núñez, Vice President</w:t>
        <w:br/>
        <w:t>Mr. Julio Costas Comesaña, Counselor</w:t>
        <w:br/>
        <w:t>Ms. Mª Jesús González López, Counselor</w:t>
        <w:br/>
        <w:t>Ms. Inmaculada Gutiérrez Carrizo, Counselor</w:t>
        <w:br/>
        <w:t>In Madrid, on February 8, 2011.</w:t>
        <w:br/>
        <w:t>Having reviewed the file processed in accordance with Law 15/2007, of July 3, on the Defense of Competition, regarding the transition from exclusive control by CAIXA D’ESTALVIS DEL PENEDÉS over CAIXA PENEDÉS PENSIONES E.G.F.P. and CAIXA PENEDÉS VIDA D’ASSEGURANCES I REASSEGURANCES S.A. to a situation of joint control by CAIXA PENEDÉS and CAJA DE SEGUROS REUNIDOS, COMPAÑÍA DE SEGUROS Y REASEGUROS (CASER) (File No. C/0328/11),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