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https://www.cnmc.es/expedientes/c033111</w:t>
      </w:r>
    </w:p>
    <w:p>
      <w:r>
        <w:t>Pages translated : 1</w:t>
      </w:r>
    </w:p>
    <w:p/>
    <w:p>
      <w:r>
        <w:rPr>
          <w:b/>
        </w:rPr>
        <w:t>[Pages 1–1]</w:t>
      </w:r>
    </w:p>
    <w:p>
      <w:r>
        <w:t>RESOLUTION (File No. C-0331/11, JOHNSON/SARA LEE Assets)</w:t>
      </w:r>
    </w:p>
    <w:p>
      <w:r>
        <w:t>COUNCIL</w:t>
      </w:r>
    </w:p>
    <w:p>
      <w:r>
        <w:t>Mr. Luis Berenguer Fuster, President</w:t>
      </w:r>
    </w:p>
    <w:p>
      <w:r>
        <w:t>Ms. Pilar Sánchez Núñez, Vice President</w:t>
      </w:r>
    </w:p>
    <w:p>
      <w:r>
        <w:t>Mr. Julio Costas Comesaña, Councilor</w:t>
      </w:r>
    </w:p>
    <w:p>
      <w:r>
        <w:t>Ms. Mª Jesús González López, Councilor</w:t>
      </w:r>
    </w:p>
    <w:p>
      <w:r>
        <w:t>Ms. Inmaculada Gutiérrez Carrizo, Councilor</w:t>
      </w:r>
    </w:p>
    <w:p>
      <w:r>
        <w:t>In Madrid, on February 8, 2011.</w:t>
      </w:r>
    </w:p>
    <w:p>
      <w:r>
        <w:t>Having reviewed the file processed in accordance with Law 15/2007, of July 3, on the Defense of Competition, regarding the acquisition by S.C. JOHNSON &amp; SON INC of exclusive control over the shoe care business of SARA LEE CORPORATION. (File No. C/0331/11), and in agreement with the report and proposal submitted by the Investigation Directorate, the Council of the National Competition Commission has resolved, pursuant to Article 57.2.a) of the aforementioned Law, to authorize the aforementioned concentration operation in the first phase, except with respect to the non-solicitation agreement for employees, which shall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