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https://www.cnmc.es/expedientes/c033511</w:t>
      </w:r>
    </w:p>
    <w:p>
      <w:r>
        <w:t>Pages translated : 1</w:t>
      </w:r>
    </w:p>
    <w:p/>
    <w:p>
      <w:r>
        <w:rPr>
          <w:b/>
        </w:rPr>
        <w:t>[Pages 1–1]</w:t>
      </w:r>
    </w:p>
    <w:p>
      <w:r>
        <w:t>RESOLUTION (File C-0335/11, TICKETMASTER/SERVITICKET)</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March 16, 2011.</w:t>
      </w:r>
    </w:p>
    <w:p>
      <w:r>
        <w:t>Having reviewed the file processed in accordance with Law 15/2007, of July 3, on the Defense of Competition, concerning the acquisition by TICK TACK TICKET S.A. (TICKETMASTER) of exclusive control of SERVITICKET S.A. (File C/0335/11), and in agreement with the report and proposal submitted by the Investigation Directorate, the Council of the National Competition Commission has resolved, pursuant to article 57.2.a) of the aforementioned Law, to authorize the aforementioned concentration operation in the first phase, except with respect to the non-competition, non-solicitation, and confidentiality agreements that exceed two years, and the exclusive commercial agreements between TICKETMASTER and LA CAIXA, which are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