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https://www.cnmc.es/expedientes/c033711</w:t>
      </w:r>
    </w:p>
    <w:p>
      <w:r>
        <w:t>Pages translated : 1</w:t>
      </w:r>
    </w:p>
    <w:p/>
    <w:p>
      <w:r>
        <w:rPr>
          <w:b/>
        </w:rPr>
        <w:t>[Pages 1–1]</w:t>
      </w:r>
    </w:p>
    <w:p>
      <w:r>
        <w:t>RESOLUTION (File C-0337/11, STELLAR-ASSETS OF CAREFUSION CORPORATION)</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March 23, 2011.</w:t>
      </w:r>
    </w:p>
    <w:p>
      <w:r>
        <w:t>Having reviewed the file processed in accordance with Law 15/2007, of July 3, on the Defense of Competition, regarding the acquisition by MEDLINE, through the company STELLAR HOLDCO LLC, of certain shares and assets of CAREFUSION CORPORATION related to the international business of certain surgical products (File C/0337/11),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