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https://www.cnmc.es/expedientes/c033811</w:t>
      </w:r>
    </w:p>
    <w:p>
      <w:r>
        <w:t>Pages translated : 1</w:t>
      </w:r>
    </w:p>
    <w:p/>
    <w:p>
      <w:r>
        <w:rPr>
          <w:b/>
        </w:rPr>
        <w:t>[Pages 1–1]</w:t>
      </w:r>
    </w:p>
    <w:p>
      <w:r>
        <w:t>RESOLUTION (File No. C-0338/11, ENAGAS/IBERDROLA ASSETS)</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April 6, 2011.</w:t>
      </w:r>
    </w:p>
    <w:p>
      <w:r>
        <w:t>Having reviewed the file processed in accordance with Law 15/2007, of July 3, on the Defense of Competition, concerning the acquisition by ENAGAS S.A. of exclusive control over the company IBERDROLA INFRAESTRUCTURA GASISTAS S.L.U., as the owner of the gas pipeline to the Escombreras Dock; and in the acquisition of exclusive control over the Ramal a Arcos gas pipeline, whose ownership is held by Iberdrola Generación S.A.U. (File No. C/0338/11),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